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D07" w:rsidRPr="003674E2" w:rsidRDefault="003674E2" w:rsidP="003674E2">
      <w:pPr>
        <w:spacing w:line="240" w:lineRule="auto"/>
        <w:jc w:val="center"/>
        <w:rPr>
          <w:rFonts w:cstheme="minorHAnsi"/>
          <w:b/>
          <w:color w:val="FF0000"/>
        </w:rPr>
      </w:pPr>
      <w:r w:rsidRPr="00A82BA5">
        <w:rPr>
          <w:rFonts w:cstheme="minorHAnsi"/>
          <w:b/>
          <w:color w:val="FF0000"/>
        </w:rPr>
        <w:t>TABLO 6-A</w:t>
      </w:r>
      <w:r>
        <w:rPr>
          <w:rFonts w:cstheme="minorHAnsi"/>
          <w:b/>
          <w:color w:val="FF0000"/>
        </w:rPr>
        <w:t xml:space="preserve"> </w:t>
      </w:r>
      <w:r w:rsidRPr="00A82BA5">
        <w:rPr>
          <w:rFonts w:cstheme="minorHAnsi"/>
          <w:b/>
          <w:color w:val="FF0000"/>
        </w:rPr>
        <w:t>DAĞITIM ŞİRKETİ TİCARİ KALİTE TABLOSU</w:t>
      </w: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2144"/>
        <w:gridCol w:w="4043"/>
        <w:gridCol w:w="1724"/>
      </w:tblGrid>
      <w:tr w:rsidR="00730D07" w:rsidRPr="00730D07" w:rsidTr="00730D07">
        <w:trPr>
          <w:trHeight w:val="914"/>
        </w:trPr>
        <w:tc>
          <w:tcPr>
            <w:tcW w:w="635" w:type="pct"/>
            <w:vAlign w:val="center"/>
          </w:tcPr>
          <w:p w:rsidR="00730D07" w:rsidRPr="00730D07" w:rsidRDefault="00730D07" w:rsidP="00D92BD7">
            <w:pPr>
              <w:spacing w:after="0" w:line="240" w:lineRule="auto"/>
              <w:jc w:val="center"/>
              <w:rPr>
                <w:rFonts w:ascii="Times New Roman" w:eastAsia="Calibri" w:hAnsi="Times New Roman"/>
                <w:b/>
                <w:sz w:val="20"/>
                <w:szCs w:val="18"/>
                <w:lang w:val="tr-TR"/>
              </w:rPr>
            </w:pPr>
            <w:r w:rsidRPr="00730D07">
              <w:rPr>
                <w:rFonts w:ascii="Times New Roman" w:eastAsia="Calibri" w:hAnsi="Times New Roman"/>
                <w:b/>
                <w:sz w:val="20"/>
                <w:szCs w:val="18"/>
                <w:lang w:val="tr-TR"/>
              </w:rPr>
              <w:t>TİCARİ</w:t>
            </w:r>
          </w:p>
          <w:p w:rsidR="00730D07" w:rsidRPr="00730D07" w:rsidRDefault="00730D07" w:rsidP="00D92BD7">
            <w:pPr>
              <w:spacing w:after="0" w:line="240" w:lineRule="auto"/>
              <w:jc w:val="center"/>
              <w:rPr>
                <w:rFonts w:ascii="Times New Roman" w:eastAsia="Calibri" w:hAnsi="Times New Roman"/>
                <w:b/>
                <w:sz w:val="20"/>
                <w:szCs w:val="18"/>
                <w:lang w:val="tr-TR"/>
              </w:rPr>
            </w:pPr>
            <w:r w:rsidRPr="00730D07">
              <w:rPr>
                <w:rFonts w:ascii="Times New Roman" w:eastAsia="Calibri" w:hAnsi="Times New Roman"/>
                <w:b/>
                <w:sz w:val="20"/>
                <w:szCs w:val="18"/>
                <w:lang w:val="tr-TR"/>
              </w:rPr>
              <w:t>KALİTE KOD NO</w:t>
            </w:r>
          </w:p>
        </w:tc>
        <w:tc>
          <w:tcPr>
            <w:tcW w:w="1183" w:type="pct"/>
            <w:vAlign w:val="center"/>
          </w:tcPr>
          <w:p w:rsidR="00730D07" w:rsidRPr="00730D07" w:rsidRDefault="00730D07" w:rsidP="00D92BD7">
            <w:pPr>
              <w:spacing w:after="0" w:line="240" w:lineRule="auto"/>
              <w:jc w:val="center"/>
              <w:rPr>
                <w:rFonts w:ascii="Times New Roman" w:eastAsia="Calibri" w:hAnsi="Times New Roman"/>
                <w:b/>
                <w:sz w:val="20"/>
                <w:szCs w:val="18"/>
                <w:lang w:val="tr-TR"/>
              </w:rPr>
            </w:pPr>
            <w:r w:rsidRPr="00730D07">
              <w:rPr>
                <w:rFonts w:ascii="Times New Roman" w:eastAsia="Calibri" w:hAnsi="Times New Roman"/>
                <w:b/>
                <w:sz w:val="20"/>
                <w:szCs w:val="18"/>
                <w:lang w:val="tr-TR"/>
              </w:rPr>
              <w:t>TİCARİ KALİTE</w:t>
            </w:r>
          </w:p>
          <w:p w:rsidR="00730D07" w:rsidRPr="00730D07" w:rsidRDefault="00730D07" w:rsidP="00D92BD7">
            <w:pPr>
              <w:spacing w:after="0" w:line="240" w:lineRule="auto"/>
              <w:jc w:val="center"/>
              <w:rPr>
                <w:rFonts w:ascii="Times New Roman" w:eastAsia="Calibri" w:hAnsi="Times New Roman"/>
                <w:b/>
                <w:sz w:val="20"/>
                <w:szCs w:val="18"/>
                <w:lang w:val="tr-TR"/>
              </w:rPr>
            </w:pPr>
            <w:r w:rsidRPr="00730D07">
              <w:rPr>
                <w:rFonts w:ascii="Times New Roman" w:eastAsia="Calibri" w:hAnsi="Times New Roman"/>
                <w:b/>
                <w:sz w:val="20"/>
                <w:szCs w:val="18"/>
                <w:lang w:val="tr-TR"/>
              </w:rPr>
              <w:t>GÖSTERGESİ</w:t>
            </w:r>
          </w:p>
        </w:tc>
        <w:tc>
          <w:tcPr>
            <w:tcW w:w="2231" w:type="pct"/>
            <w:vAlign w:val="center"/>
          </w:tcPr>
          <w:p w:rsidR="00730D07" w:rsidRPr="00730D07" w:rsidRDefault="00730D07" w:rsidP="00D92BD7">
            <w:pPr>
              <w:spacing w:after="0" w:line="240" w:lineRule="auto"/>
              <w:jc w:val="center"/>
              <w:rPr>
                <w:rFonts w:ascii="Times New Roman" w:eastAsia="Calibri" w:hAnsi="Times New Roman"/>
                <w:b/>
                <w:sz w:val="20"/>
                <w:szCs w:val="18"/>
                <w:lang w:val="tr-TR"/>
              </w:rPr>
            </w:pPr>
            <w:r w:rsidRPr="00730D07">
              <w:rPr>
                <w:rFonts w:ascii="Times New Roman" w:eastAsia="Calibri" w:hAnsi="Times New Roman"/>
                <w:b/>
                <w:sz w:val="20"/>
                <w:szCs w:val="18"/>
                <w:lang w:val="tr-TR"/>
              </w:rPr>
              <w:t>STANDART SÜRE</w:t>
            </w:r>
          </w:p>
        </w:tc>
        <w:tc>
          <w:tcPr>
            <w:tcW w:w="951" w:type="pct"/>
            <w:vAlign w:val="center"/>
          </w:tcPr>
          <w:p w:rsidR="00730D07" w:rsidRPr="00730D07" w:rsidRDefault="00730D07" w:rsidP="00D92BD7">
            <w:pPr>
              <w:spacing w:after="0" w:line="240" w:lineRule="auto"/>
              <w:jc w:val="center"/>
              <w:rPr>
                <w:rFonts w:ascii="Times New Roman" w:eastAsia="Calibri" w:hAnsi="Times New Roman"/>
                <w:b/>
                <w:sz w:val="20"/>
                <w:szCs w:val="18"/>
                <w:lang w:val="tr-TR"/>
              </w:rPr>
            </w:pPr>
            <w:r w:rsidRPr="00730D07">
              <w:rPr>
                <w:rFonts w:ascii="Times New Roman" w:eastAsia="Calibri" w:hAnsi="Times New Roman"/>
                <w:b/>
                <w:sz w:val="20"/>
                <w:szCs w:val="18"/>
                <w:lang w:val="tr-TR"/>
              </w:rPr>
              <w:t>TAZMİNAT MİKTARI VEYA YAPILACAK İŞLEM</w:t>
            </w:r>
          </w:p>
        </w:tc>
      </w:tr>
      <w:tr w:rsidR="00730D07" w:rsidRPr="00730D07" w:rsidTr="00D92BD7">
        <w:tc>
          <w:tcPr>
            <w:tcW w:w="635" w:type="pct"/>
            <w:vAlign w:val="center"/>
          </w:tcPr>
          <w:p w:rsidR="00730D07" w:rsidRPr="00730D07" w:rsidRDefault="00730D07" w:rsidP="00D92BD7">
            <w:pPr>
              <w:spacing w:after="0" w:line="240" w:lineRule="auto"/>
              <w:jc w:val="center"/>
              <w:rPr>
                <w:rFonts w:ascii="Times New Roman" w:eastAsia="Calibri" w:hAnsi="Times New Roman"/>
                <w:b/>
                <w:sz w:val="20"/>
                <w:szCs w:val="18"/>
                <w:lang w:val="tr-TR"/>
              </w:rPr>
            </w:pPr>
            <w:r w:rsidRPr="00730D07">
              <w:rPr>
                <w:rFonts w:ascii="Times New Roman" w:eastAsia="Calibri" w:hAnsi="Times New Roman"/>
                <w:b/>
                <w:sz w:val="20"/>
                <w:szCs w:val="18"/>
                <w:lang w:val="tr-TR"/>
              </w:rPr>
              <w:t>1</w:t>
            </w:r>
          </w:p>
        </w:tc>
        <w:tc>
          <w:tcPr>
            <w:tcW w:w="1183" w:type="pct"/>
            <w:vAlign w:val="center"/>
          </w:tcPr>
          <w:p w:rsidR="00730D07" w:rsidRPr="00730D07" w:rsidRDefault="00730D07" w:rsidP="00D92BD7">
            <w:pPr>
              <w:spacing w:after="0" w:line="240" w:lineRule="auto"/>
              <w:rPr>
                <w:rFonts w:ascii="Times New Roman" w:eastAsia="Calibri" w:hAnsi="Times New Roman"/>
                <w:sz w:val="20"/>
                <w:szCs w:val="18"/>
                <w:lang w:val="tr-TR"/>
              </w:rPr>
            </w:pPr>
            <w:r w:rsidRPr="00730D07">
              <w:rPr>
                <w:rFonts w:ascii="Times New Roman" w:eastAsia="Calibri" w:hAnsi="Times New Roman"/>
                <w:sz w:val="20"/>
                <w:szCs w:val="18"/>
                <w:lang w:val="tr-TR"/>
              </w:rPr>
              <w:t>Bağlantı talebinin karşılanabileceği azami sürenin gerekçeleri ile birlikte başvuru sahibine yazılı olarak bildirilmesi</w:t>
            </w:r>
          </w:p>
        </w:tc>
        <w:tc>
          <w:tcPr>
            <w:tcW w:w="2231" w:type="pct"/>
            <w:vAlign w:val="center"/>
          </w:tcPr>
          <w:p w:rsidR="00730D07" w:rsidRPr="00730D07" w:rsidRDefault="00730D07" w:rsidP="00D92BD7">
            <w:pPr>
              <w:spacing w:after="0" w:line="240" w:lineRule="auto"/>
              <w:jc w:val="both"/>
              <w:rPr>
                <w:rFonts w:ascii="Times New Roman" w:eastAsia="Calibri" w:hAnsi="Times New Roman"/>
                <w:sz w:val="20"/>
                <w:szCs w:val="18"/>
                <w:lang w:val="tr-TR"/>
              </w:rPr>
            </w:pPr>
            <w:r w:rsidRPr="00730D07">
              <w:rPr>
                <w:rFonts w:ascii="Times New Roman" w:eastAsia="Calibri" w:hAnsi="Times New Roman"/>
                <w:sz w:val="20"/>
                <w:szCs w:val="18"/>
                <w:lang w:val="tr-TR"/>
              </w:rPr>
              <w:t>Yedi iş günü içerisinde</w:t>
            </w:r>
            <w:r w:rsidRPr="00730D07">
              <w:rPr>
                <w:rFonts w:ascii="Times New Roman" w:hAnsi="Times New Roman"/>
                <w:sz w:val="20"/>
                <w:szCs w:val="18"/>
                <w:lang w:val="tr-TR"/>
              </w:rPr>
              <w:t xml:space="preserve"> </w:t>
            </w:r>
          </w:p>
        </w:tc>
        <w:tc>
          <w:tcPr>
            <w:tcW w:w="951" w:type="pct"/>
            <w:vAlign w:val="center"/>
          </w:tcPr>
          <w:p w:rsidR="00730D07" w:rsidRPr="00730D07" w:rsidRDefault="00730D07" w:rsidP="00D92BD7">
            <w:pPr>
              <w:spacing w:after="0" w:line="240" w:lineRule="auto"/>
              <w:jc w:val="center"/>
              <w:rPr>
                <w:rFonts w:ascii="Times New Roman" w:eastAsia="Calibri" w:hAnsi="Times New Roman"/>
                <w:sz w:val="20"/>
                <w:szCs w:val="18"/>
                <w:lang w:val="tr-TR"/>
              </w:rPr>
            </w:pPr>
            <w:r w:rsidRPr="00730D07">
              <w:rPr>
                <w:rFonts w:ascii="Times New Roman" w:hAnsi="Times New Roman"/>
                <w:sz w:val="20"/>
                <w:szCs w:val="18"/>
                <w:lang w:val="tr-TR"/>
              </w:rPr>
              <w:t xml:space="preserve">Mesken Abonesi: 40 </w:t>
            </w:r>
            <w:r w:rsidRPr="00730D07">
              <w:rPr>
                <w:rFonts w:ascii="Times New Roman" w:eastAsia="Calibri" w:hAnsi="Times New Roman"/>
                <w:sz w:val="20"/>
                <w:szCs w:val="18"/>
                <w:lang w:val="tr-TR"/>
              </w:rPr>
              <w:t>TL</w:t>
            </w:r>
          </w:p>
          <w:p w:rsidR="00730D07" w:rsidRPr="00730D07" w:rsidRDefault="00730D07" w:rsidP="00D92BD7">
            <w:pPr>
              <w:spacing w:after="0" w:line="240" w:lineRule="auto"/>
              <w:jc w:val="center"/>
              <w:rPr>
                <w:rFonts w:ascii="Times New Roman" w:hAnsi="Times New Roman"/>
                <w:sz w:val="20"/>
                <w:szCs w:val="18"/>
                <w:lang w:val="tr-TR"/>
              </w:rPr>
            </w:pPr>
            <w:r w:rsidRPr="00730D07">
              <w:rPr>
                <w:rFonts w:ascii="Times New Roman" w:hAnsi="Times New Roman"/>
                <w:sz w:val="20"/>
                <w:szCs w:val="18"/>
                <w:lang w:val="tr-TR"/>
              </w:rPr>
              <w:t>Diğer Aboneler: 80</w:t>
            </w:r>
          </w:p>
          <w:p w:rsidR="00730D07" w:rsidRPr="00730D07" w:rsidRDefault="00730D07" w:rsidP="00D92BD7">
            <w:pPr>
              <w:spacing w:after="0" w:line="240" w:lineRule="auto"/>
              <w:jc w:val="center"/>
              <w:rPr>
                <w:rFonts w:ascii="Times New Roman" w:eastAsia="Calibri" w:hAnsi="Times New Roman"/>
                <w:sz w:val="20"/>
                <w:szCs w:val="18"/>
                <w:lang w:val="tr-TR"/>
              </w:rPr>
            </w:pPr>
            <w:r w:rsidRPr="00730D07">
              <w:rPr>
                <w:rFonts w:ascii="Times New Roman" w:hAnsi="Times New Roman"/>
                <w:sz w:val="20"/>
                <w:szCs w:val="18"/>
                <w:lang w:val="tr-TR"/>
              </w:rPr>
              <w:t xml:space="preserve"> </w:t>
            </w:r>
            <w:r w:rsidRPr="00730D07">
              <w:rPr>
                <w:rFonts w:ascii="Times New Roman" w:eastAsia="Calibri" w:hAnsi="Times New Roman"/>
                <w:sz w:val="20"/>
                <w:szCs w:val="18"/>
                <w:lang w:val="tr-TR"/>
              </w:rPr>
              <w:t>TL</w:t>
            </w:r>
          </w:p>
        </w:tc>
      </w:tr>
      <w:tr w:rsidR="00730D07" w:rsidRPr="00730D07" w:rsidTr="00D92BD7">
        <w:tc>
          <w:tcPr>
            <w:tcW w:w="635" w:type="pct"/>
            <w:vAlign w:val="center"/>
          </w:tcPr>
          <w:p w:rsidR="00730D07" w:rsidRPr="00730D07" w:rsidRDefault="00730D07" w:rsidP="00D92BD7">
            <w:pPr>
              <w:spacing w:after="0" w:line="240" w:lineRule="auto"/>
              <w:jc w:val="center"/>
              <w:rPr>
                <w:rFonts w:ascii="Times New Roman" w:eastAsia="Calibri" w:hAnsi="Times New Roman"/>
                <w:b/>
                <w:sz w:val="20"/>
                <w:szCs w:val="18"/>
                <w:lang w:val="tr-TR"/>
              </w:rPr>
            </w:pPr>
            <w:r w:rsidRPr="00730D07">
              <w:rPr>
                <w:rFonts w:ascii="Times New Roman" w:eastAsia="Calibri" w:hAnsi="Times New Roman"/>
                <w:b/>
                <w:sz w:val="20"/>
                <w:szCs w:val="18"/>
                <w:lang w:val="tr-TR"/>
              </w:rPr>
              <w:t xml:space="preserve">2.1 </w:t>
            </w:r>
          </w:p>
        </w:tc>
        <w:tc>
          <w:tcPr>
            <w:tcW w:w="1183" w:type="pct"/>
            <w:vAlign w:val="center"/>
          </w:tcPr>
          <w:p w:rsidR="00730D07" w:rsidRPr="00730D07" w:rsidRDefault="00730D07" w:rsidP="00D92BD7">
            <w:pPr>
              <w:spacing w:after="0" w:line="240" w:lineRule="auto"/>
              <w:rPr>
                <w:rFonts w:ascii="Times New Roman" w:eastAsia="Calibri" w:hAnsi="Times New Roman"/>
                <w:sz w:val="20"/>
                <w:szCs w:val="18"/>
                <w:lang w:val="tr-TR"/>
              </w:rPr>
            </w:pPr>
            <w:r w:rsidRPr="00730D07">
              <w:rPr>
                <w:rFonts w:ascii="Times New Roman" w:eastAsia="Calibri" w:hAnsi="Times New Roman"/>
                <w:sz w:val="20"/>
                <w:szCs w:val="18"/>
                <w:lang w:val="tr-TR"/>
              </w:rPr>
              <w:t xml:space="preserve">Tesis sözleşmesi yapılması gerekmeyen durumlarda bağlantı anlaşmasının kullanıcıya önerilmesi </w:t>
            </w:r>
          </w:p>
        </w:tc>
        <w:tc>
          <w:tcPr>
            <w:tcW w:w="2231" w:type="pct"/>
            <w:vAlign w:val="center"/>
          </w:tcPr>
          <w:p w:rsidR="00730D07" w:rsidRPr="00730D07" w:rsidRDefault="00730D07" w:rsidP="00D92BD7">
            <w:pPr>
              <w:spacing w:after="0" w:line="240" w:lineRule="auto"/>
              <w:jc w:val="both"/>
              <w:rPr>
                <w:rFonts w:ascii="Times New Roman" w:eastAsia="Calibri" w:hAnsi="Times New Roman"/>
                <w:sz w:val="20"/>
                <w:szCs w:val="18"/>
                <w:lang w:val="tr-TR"/>
              </w:rPr>
            </w:pPr>
            <w:r w:rsidRPr="00730D07">
              <w:rPr>
                <w:rFonts w:ascii="Times New Roman" w:hAnsi="Times New Roman"/>
                <w:sz w:val="20"/>
                <w:szCs w:val="18"/>
                <w:lang w:val="tr-TR"/>
              </w:rPr>
              <w:t xml:space="preserve">Kullanıcının bağlantı görüşü geçerlilik süresi içerisinde başvurması, gerekli mali yükümlülükleri yerine getirmesi ve tesis sözleşmesi imzalanması gerekmeyen durumlarda en geç beş iş günü içerisinde </w:t>
            </w:r>
          </w:p>
        </w:tc>
        <w:tc>
          <w:tcPr>
            <w:tcW w:w="951" w:type="pct"/>
            <w:vMerge w:val="restart"/>
            <w:vAlign w:val="center"/>
          </w:tcPr>
          <w:p w:rsidR="00730D07" w:rsidRPr="00730D07" w:rsidRDefault="00730D07" w:rsidP="00D92BD7">
            <w:pPr>
              <w:spacing w:after="0" w:line="240" w:lineRule="auto"/>
              <w:jc w:val="center"/>
              <w:rPr>
                <w:rFonts w:ascii="Times New Roman" w:hAnsi="Times New Roman"/>
                <w:sz w:val="20"/>
                <w:szCs w:val="18"/>
                <w:lang w:val="tr-TR"/>
              </w:rPr>
            </w:pPr>
            <w:r w:rsidRPr="00730D07">
              <w:rPr>
                <w:rFonts w:ascii="Times New Roman" w:hAnsi="Times New Roman"/>
                <w:sz w:val="20"/>
                <w:szCs w:val="18"/>
                <w:lang w:val="tr-TR"/>
              </w:rPr>
              <w:t>160 TL</w:t>
            </w:r>
          </w:p>
        </w:tc>
      </w:tr>
      <w:tr w:rsidR="00730D07" w:rsidRPr="00730D07" w:rsidTr="00D92BD7">
        <w:tc>
          <w:tcPr>
            <w:tcW w:w="635" w:type="pct"/>
            <w:vAlign w:val="center"/>
          </w:tcPr>
          <w:p w:rsidR="00730D07" w:rsidRPr="00730D07" w:rsidRDefault="00730D07" w:rsidP="00D92BD7">
            <w:pPr>
              <w:spacing w:after="0" w:line="240" w:lineRule="auto"/>
              <w:jc w:val="center"/>
              <w:rPr>
                <w:rFonts w:ascii="Times New Roman" w:eastAsia="Calibri" w:hAnsi="Times New Roman"/>
                <w:b/>
                <w:sz w:val="20"/>
                <w:szCs w:val="18"/>
                <w:lang w:val="tr-TR"/>
              </w:rPr>
            </w:pPr>
            <w:r w:rsidRPr="00730D07">
              <w:rPr>
                <w:rFonts w:ascii="Times New Roman" w:eastAsia="Calibri" w:hAnsi="Times New Roman"/>
                <w:b/>
                <w:sz w:val="20"/>
                <w:szCs w:val="18"/>
                <w:lang w:val="tr-TR"/>
              </w:rPr>
              <w:t xml:space="preserve">2.2 </w:t>
            </w:r>
          </w:p>
        </w:tc>
        <w:tc>
          <w:tcPr>
            <w:tcW w:w="1183" w:type="pct"/>
            <w:vAlign w:val="center"/>
          </w:tcPr>
          <w:p w:rsidR="00730D07" w:rsidRPr="00730D07" w:rsidRDefault="00730D07" w:rsidP="00D92BD7">
            <w:pPr>
              <w:spacing w:after="0" w:line="240" w:lineRule="auto"/>
              <w:rPr>
                <w:rFonts w:ascii="Times New Roman" w:eastAsia="Calibri" w:hAnsi="Times New Roman"/>
                <w:sz w:val="20"/>
                <w:szCs w:val="18"/>
                <w:lang w:val="tr-TR"/>
              </w:rPr>
            </w:pPr>
            <w:r w:rsidRPr="00730D07">
              <w:rPr>
                <w:rFonts w:ascii="Times New Roman" w:eastAsia="Calibri" w:hAnsi="Times New Roman"/>
                <w:sz w:val="20"/>
                <w:szCs w:val="18"/>
                <w:lang w:val="tr-TR"/>
              </w:rPr>
              <w:t>Tesis sözleşmesi yapılması gereken durumlarda bağlantı anlaşmasının kullanıcıya önerilmesi</w:t>
            </w:r>
          </w:p>
        </w:tc>
        <w:tc>
          <w:tcPr>
            <w:tcW w:w="2231" w:type="pct"/>
            <w:vAlign w:val="center"/>
          </w:tcPr>
          <w:p w:rsidR="00730D07" w:rsidRPr="00730D07" w:rsidRDefault="00730D07" w:rsidP="00D92BD7">
            <w:pPr>
              <w:spacing w:after="0" w:line="240" w:lineRule="auto"/>
              <w:jc w:val="both"/>
              <w:rPr>
                <w:rFonts w:ascii="Times New Roman" w:eastAsia="Calibri" w:hAnsi="Times New Roman"/>
                <w:sz w:val="20"/>
                <w:szCs w:val="18"/>
                <w:lang w:val="tr-TR"/>
              </w:rPr>
            </w:pPr>
            <w:r w:rsidRPr="00730D07">
              <w:rPr>
                <w:rFonts w:ascii="Times New Roman" w:hAnsi="Times New Roman"/>
                <w:sz w:val="20"/>
                <w:szCs w:val="18"/>
                <w:lang w:val="tr-TR"/>
              </w:rPr>
              <w:t>Kullanıcının bağlantı görüşü geçerlilik süresi içerisinde başvurması, gerekli mali yükümlülükleri yerine getirmesi ve tesis sözleşmesi imzalanması gereken durumlarda yirmi iş günü içerisinde</w:t>
            </w:r>
          </w:p>
        </w:tc>
        <w:tc>
          <w:tcPr>
            <w:tcW w:w="951" w:type="pct"/>
            <w:vMerge/>
            <w:vAlign w:val="center"/>
          </w:tcPr>
          <w:p w:rsidR="00730D07" w:rsidRPr="00730D07" w:rsidRDefault="00730D07" w:rsidP="00D92BD7">
            <w:pPr>
              <w:spacing w:after="0" w:line="240" w:lineRule="auto"/>
              <w:jc w:val="center"/>
              <w:rPr>
                <w:rFonts w:ascii="Times New Roman" w:hAnsi="Times New Roman"/>
                <w:sz w:val="20"/>
                <w:szCs w:val="18"/>
                <w:lang w:val="tr-TR"/>
              </w:rPr>
            </w:pPr>
          </w:p>
        </w:tc>
      </w:tr>
      <w:tr w:rsidR="00730D07" w:rsidRPr="00730D07" w:rsidTr="00D92BD7">
        <w:tc>
          <w:tcPr>
            <w:tcW w:w="635" w:type="pct"/>
            <w:vAlign w:val="center"/>
          </w:tcPr>
          <w:p w:rsidR="00730D07" w:rsidRPr="00730D07" w:rsidRDefault="00730D07" w:rsidP="00D92BD7">
            <w:pPr>
              <w:spacing w:after="0" w:line="240" w:lineRule="auto"/>
              <w:jc w:val="center"/>
              <w:rPr>
                <w:rFonts w:ascii="Times New Roman" w:eastAsia="Calibri" w:hAnsi="Times New Roman"/>
                <w:b/>
                <w:sz w:val="20"/>
                <w:szCs w:val="18"/>
                <w:lang w:val="tr-TR"/>
              </w:rPr>
            </w:pPr>
            <w:r w:rsidRPr="00730D07">
              <w:rPr>
                <w:rFonts w:ascii="Times New Roman" w:eastAsia="Calibri" w:hAnsi="Times New Roman"/>
                <w:b/>
                <w:sz w:val="20"/>
                <w:szCs w:val="18"/>
                <w:lang w:val="tr-TR"/>
              </w:rPr>
              <w:t>3.1</w:t>
            </w:r>
          </w:p>
        </w:tc>
        <w:tc>
          <w:tcPr>
            <w:tcW w:w="1183" w:type="pct"/>
            <w:vAlign w:val="center"/>
          </w:tcPr>
          <w:p w:rsidR="00730D07" w:rsidRPr="00730D07" w:rsidRDefault="00730D07" w:rsidP="00D92BD7">
            <w:pPr>
              <w:spacing w:after="0" w:line="240" w:lineRule="auto"/>
              <w:rPr>
                <w:rFonts w:ascii="Times New Roman" w:eastAsia="Calibri" w:hAnsi="Times New Roman"/>
                <w:sz w:val="20"/>
                <w:szCs w:val="18"/>
                <w:lang w:val="tr-TR"/>
              </w:rPr>
            </w:pPr>
            <w:r w:rsidRPr="00730D07">
              <w:rPr>
                <w:rFonts w:ascii="Times New Roman" w:eastAsia="Calibri" w:hAnsi="Times New Roman"/>
                <w:sz w:val="20"/>
                <w:szCs w:val="18"/>
                <w:lang w:val="tr-TR"/>
              </w:rPr>
              <w:t>Geçici kabul yetkisinin dağıtım şirketinde olmadığı durumlarda Bağlantı hattının geçici kabulünün yapılmasına ilişkin başvuru</w:t>
            </w:r>
          </w:p>
        </w:tc>
        <w:tc>
          <w:tcPr>
            <w:tcW w:w="2231" w:type="pct"/>
            <w:vAlign w:val="center"/>
          </w:tcPr>
          <w:p w:rsidR="00730D07" w:rsidRPr="00730D07" w:rsidRDefault="00730D07" w:rsidP="00D92BD7">
            <w:pPr>
              <w:spacing w:after="0" w:line="240" w:lineRule="auto"/>
              <w:jc w:val="both"/>
              <w:rPr>
                <w:rFonts w:ascii="Times New Roman" w:eastAsia="Calibri" w:hAnsi="Times New Roman"/>
                <w:sz w:val="20"/>
                <w:szCs w:val="18"/>
                <w:lang w:val="tr-TR"/>
              </w:rPr>
            </w:pPr>
            <w:r w:rsidRPr="00730D07">
              <w:rPr>
                <w:rFonts w:ascii="Times New Roman" w:hAnsi="Times New Roman"/>
                <w:sz w:val="20"/>
                <w:szCs w:val="18"/>
                <w:lang w:val="tr-TR"/>
              </w:rPr>
              <w:t xml:space="preserve">Bağlantı hattına ilişkin geçici kabul işlemlerinin yetkinin dağıtım şirketi dışında üçüncü tarafa ait olması durumunda tesisin kabule hazır olduğuna dair kullanıcı tarafından dağıtım şirketine yapılan bildirimi müteakip dağıtım şirketi tarafından yetkili kurum/kuruluşa 5 gün içerisinde geçici kabul başvurusunda </w:t>
            </w:r>
          </w:p>
        </w:tc>
        <w:tc>
          <w:tcPr>
            <w:tcW w:w="951" w:type="pct"/>
            <w:vMerge w:val="restart"/>
            <w:vAlign w:val="center"/>
          </w:tcPr>
          <w:p w:rsidR="00730D07" w:rsidRPr="00730D07" w:rsidRDefault="00730D07" w:rsidP="00D92BD7">
            <w:pPr>
              <w:spacing w:after="0" w:line="240" w:lineRule="auto"/>
              <w:jc w:val="center"/>
              <w:rPr>
                <w:rFonts w:ascii="Times New Roman" w:hAnsi="Times New Roman"/>
                <w:sz w:val="20"/>
                <w:szCs w:val="18"/>
                <w:lang w:val="tr-TR"/>
              </w:rPr>
            </w:pPr>
            <w:r w:rsidRPr="00730D07">
              <w:rPr>
                <w:rFonts w:ascii="Times New Roman" w:hAnsi="Times New Roman"/>
                <w:sz w:val="20"/>
                <w:szCs w:val="18"/>
                <w:lang w:val="tr-TR"/>
              </w:rPr>
              <w:t>160 TL</w:t>
            </w:r>
          </w:p>
          <w:p w:rsidR="00730D07" w:rsidRPr="00730D07" w:rsidRDefault="00730D07" w:rsidP="00D92BD7">
            <w:pPr>
              <w:spacing w:after="0" w:line="240" w:lineRule="auto"/>
              <w:jc w:val="center"/>
              <w:rPr>
                <w:rFonts w:ascii="Times New Roman" w:hAnsi="Times New Roman"/>
                <w:sz w:val="20"/>
                <w:szCs w:val="18"/>
                <w:lang w:val="tr-TR"/>
              </w:rPr>
            </w:pPr>
          </w:p>
        </w:tc>
      </w:tr>
      <w:tr w:rsidR="00730D07" w:rsidRPr="00730D07" w:rsidTr="00D92BD7">
        <w:tc>
          <w:tcPr>
            <w:tcW w:w="635" w:type="pct"/>
            <w:vAlign w:val="center"/>
          </w:tcPr>
          <w:p w:rsidR="00730D07" w:rsidRPr="00730D07" w:rsidRDefault="00730D07" w:rsidP="00D92BD7">
            <w:pPr>
              <w:spacing w:after="0" w:line="240" w:lineRule="auto"/>
              <w:jc w:val="center"/>
              <w:rPr>
                <w:rFonts w:ascii="Times New Roman" w:eastAsia="Calibri" w:hAnsi="Times New Roman"/>
                <w:b/>
                <w:sz w:val="20"/>
                <w:szCs w:val="18"/>
                <w:lang w:val="tr-TR"/>
              </w:rPr>
            </w:pPr>
            <w:r w:rsidRPr="00730D07">
              <w:rPr>
                <w:rFonts w:ascii="Times New Roman" w:eastAsia="Calibri" w:hAnsi="Times New Roman"/>
                <w:b/>
                <w:sz w:val="20"/>
                <w:szCs w:val="18"/>
                <w:lang w:val="tr-TR"/>
              </w:rPr>
              <w:t>3.2</w:t>
            </w:r>
          </w:p>
        </w:tc>
        <w:tc>
          <w:tcPr>
            <w:tcW w:w="1183" w:type="pct"/>
            <w:vAlign w:val="center"/>
          </w:tcPr>
          <w:p w:rsidR="00730D07" w:rsidRPr="00730D07" w:rsidRDefault="00730D07" w:rsidP="00D92BD7">
            <w:pPr>
              <w:spacing w:after="0" w:line="240" w:lineRule="auto"/>
              <w:rPr>
                <w:rFonts w:ascii="Times New Roman" w:eastAsia="Calibri" w:hAnsi="Times New Roman"/>
                <w:sz w:val="20"/>
                <w:szCs w:val="18"/>
                <w:lang w:val="tr-TR"/>
              </w:rPr>
            </w:pPr>
            <w:r w:rsidRPr="00730D07">
              <w:rPr>
                <w:rFonts w:ascii="Times New Roman" w:eastAsia="Calibri" w:hAnsi="Times New Roman"/>
                <w:sz w:val="20"/>
                <w:szCs w:val="18"/>
                <w:lang w:val="tr-TR"/>
              </w:rPr>
              <w:t>Geçici kabul yetkisinin dağıtım şirketinde olduğu durumlarda bağlantı hattının geçici kabulünün yapılması</w:t>
            </w:r>
          </w:p>
        </w:tc>
        <w:tc>
          <w:tcPr>
            <w:tcW w:w="2231" w:type="pct"/>
            <w:vAlign w:val="center"/>
          </w:tcPr>
          <w:p w:rsidR="00730D07" w:rsidRPr="00730D07" w:rsidRDefault="00730D07" w:rsidP="00D92BD7">
            <w:pPr>
              <w:spacing w:after="0" w:line="240" w:lineRule="auto"/>
              <w:jc w:val="both"/>
              <w:rPr>
                <w:rFonts w:ascii="Times New Roman" w:eastAsia="Calibri" w:hAnsi="Times New Roman"/>
                <w:sz w:val="20"/>
                <w:szCs w:val="18"/>
                <w:lang w:val="tr-TR"/>
              </w:rPr>
            </w:pPr>
            <w:r w:rsidRPr="00730D07">
              <w:rPr>
                <w:rFonts w:ascii="Times New Roman" w:hAnsi="Times New Roman"/>
                <w:sz w:val="20"/>
                <w:szCs w:val="18"/>
                <w:lang w:val="tr-TR"/>
              </w:rPr>
              <w:t>Bağlantı hattına ilişkin geçici kabul işlemlerinin yetkinin dağıtım şirketinde olduğu durumlarda tesisin kabule hazır olduğuna dair kullanıcı tarafından dağıtım şirketine yapılan bildirimden itibaren 15 gün içerisinde</w:t>
            </w:r>
          </w:p>
        </w:tc>
        <w:tc>
          <w:tcPr>
            <w:tcW w:w="951" w:type="pct"/>
            <w:vMerge/>
            <w:vAlign w:val="center"/>
          </w:tcPr>
          <w:p w:rsidR="00730D07" w:rsidRPr="00730D07" w:rsidRDefault="00730D07" w:rsidP="00D92BD7">
            <w:pPr>
              <w:spacing w:after="0" w:line="240" w:lineRule="auto"/>
              <w:jc w:val="center"/>
              <w:rPr>
                <w:rFonts w:ascii="Times New Roman" w:hAnsi="Times New Roman"/>
                <w:sz w:val="20"/>
                <w:szCs w:val="18"/>
                <w:lang w:val="tr-TR"/>
              </w:rPr>
            </w:pPr>
          </w:p>
        </w:tc>
      </w:tr>
      <w:tr w:rsidR="00730D07" w:rsidRPr="00730D07" w:rsidTr="00D92BD7">
        <w:tc>
          <w:tcPr>
            <w:tcW w:w="635" w:type="pct"/>
            <w:vAlign w:val="center"/>
          </w:tcPr>
          <w:p w:rsidR="00730D07" w:rsidRPr="00730D07" w:rsidRDefault="00730D07" w:rsidP="00D92BD7">
            <w:pPr>
              <w:spacing w:after="0" w:line="240" w:lineRule="auto"/>
              <w:jc w:val="center"/>
              <w:rPr>
                <w:rFonts w:ascii="Times New Roman" w:eastAsia="Calibri" w:hAnsi="Times New Roman"/>
                <w:b/>
                <w:sz w:val="20"/>
                <w:szCs w:val="18"/>
                <w:lang w:val="tr-TR"/>
              </w:rPr>
            </w:pPr>
            <w:r w:rsidRPr="00730D07">
              <w:rPr>
                <w:rFonts w:ascii="Times New Roman" w:eastAsia="Calibri" w:hAnsi="Times New Roman"/>
                <w:b/>
                <w:sz w:val="20"/>
                <w:szCs w:val="18"/>
                <w:lang w:val="tr-TR"/>
              </w:rPr>
              <w:t>4</w:t>
            </w:r>
          </w:p>
        </w:tc>
        <w:tc>
          <w:tcPr>
            <w:tcW w:w="1183" w:type="pct"/>
            <w:vAlign w:val="center"/>
          </w:tcPr>
          <w:p w:rsidR="00730D07" w:rsidRPr="00730D07" w:rsidRDefault="00730D07" w:rsidP="00D92BD7">
            <w:pPr>
              <w:spacing w:after="0" w:line="240" w:lineRule="auto"/>
              <w:rPr>
                <w:rFonts w:ascii="Times New Roman" w:eastAsia="Calibri" w:hAnsi="Times New Roman"/>
                <w:sz w:val="20"/>
                <w:szCs w:val="18"/>
                <w:lang w:val="tr-TR"/>
              </w:rPr>
            </w:pPr>
            <w:r w:rsidRPr="00730D07">
              <w:rPr>
                <w:rFonts w:ascii="Times New Roman" w:eastAsia="Calibri" w:hAnsi="Times New Roman"/>
                <w:sz w:val="20"/>
                <w:szCs w:val="18"/>
                <w:lang w:val="tr-TR"/>
              </w:rPr>
              <w:t>Anlaşma gücünde değişiklik yapılması halinde; proje inceleme sonuçları ile uygulamaya esas cevabın kullanıcıya yazılı olarak bildirilmesi</w:t>
            </w:r>
          </w:p>
        </w:tc>
        <w:tc>
          <w:tcPr>
            <w:tcW w:w="2231" w:type="pct"/>
            <w:vAlign w:val="center"/>
          </w:tcPr>
          <w:p w:rsidR="00730D07" w:rsidRPr="00730D07" w:rsidRDefault="00730D07" w:rsidP="00D92BD7">
            <w:pPr>
              <w:spacing w:after="0" w:line="240" w:lineRule="auto"/>
              <w:rPr>
                <w:rFonts w:ascii="Times New Roman" w:eastAsia="Calibri" w:hAnsi="Times New Roman"/>
                <w:sz w:val="20"/>
                <w:szCs w:val="18"/>
                <w:lang w:val="tr-TR"/>
              </w:rPr>
            </w:pPr>
            <w:r w:rsidRPr="00730D07">
              <w:rPr>
                <w:rFonts w:ascii="Times New Roman" w:eastAsia="Calibri" w:hAnsi="Times New Roman"/>
                <w:sz w:val="20"/>
                <w:szCs w:val="18"/>
                <w:lang w:val="tr-TR"/>
              </w:rPr>
              <w:t>On beş iş günü içerisinde</w:t>
            </w:r>
          </w:p>
        </w:tc>
        <w:tc>
          <w:tcPr>
            <w:tcW w:w="951" w:type="pct"/>
            <w:vAlign w:val="center"/>
          </w:tcPr>
          <w:p w:rsidR="00730D07" w:rsidRPr="00730D07" w:rsidRDefault="00730D07" w:rsidP="00D92BD7">
            <w:pPr>
              <w:spacing w:after="0" w:line="240" w:lineRule="auto"/>
              <w:jc w:val="center"/>
              <w:rPr>
                <w:rFonts w:ascii="Times New Roman" w:eastAsia="Calibri" w:hAnsi="Times New Roman"/>
                <w:sz w:val="20"/>
                <w:szCs w:val="18"/>
                <w:lang w:val="tr-TR"/>
              </w:rPr>
            </w:pPr>
            <w:r w:rsidRPr="00730D07">
              <w:rPr>
                <w:rFonts w:ascii="Times New Roman" w:hAnsi="Times New Roman"/>
                <w:sz w:val="20"/>
                <w:szCs w:val="18"/>
                <w:lang w:val="tr-TR"/>
              </w:rPr>
              <w:t xml:space="preserve">Mesken Abonesi: 40 </w:t>
            </w:r>
            <w:r w:rsidRPr="00730D07">
              <w:rPr>
                <w:rFonts w:ascii="Times New Roman" w:eastAsia="Calibri" w:hAnsi="Times New Roman"/>
                <w:sz w:val="20"/>
                <w:szCs w:val="18"/>
                <w:lang w:val="tr-TR"/>
              </w:rPr>
              <w:t>TL</w:t>
            </w:r>
          </w:p>
          <w:p w:rsidR="00730D07" w:rsidRPr="00730D07" w:rsidRDefault="00730D07" w:rsidP="00D92BD7">
            <w:pPr>
              <w:spacing w:after="0" w:line="240" w:lineRule="auto"/>
              <w:jc w:val="center"/>
              <w:rPr>
                <w:rFonts w:ascii="Times New Roman" w:eastAsia="Calibri" w:hAnsi="Times New Roman"/>
                <w:sz w:val="20"/>
                <w:szCs w:val="18"/>
                <w:lang w:val="tr-TR"/>
              </w:rPr>
            </w:pPr>
            <w:r w:rsidRPr="00730D07">
              <w:rPr>
                <w:rFonts w:ascii="Times New Roman" w:eastAsia="Calibri" w:hAnsi="Times New Roman"/>
                <w:sz w:val="20"/>
                <w:szCs w:val="18"/>
                <w:lang w:val="tr-TR"/>
              </w:rPr>
              <w:t>Diğer Aboneler: 80 TL</w:t>
            </w:r>
          </w:p>
        </w:tc>
      </w:tr>
      <w:tr w:rsidR="00730D07" w:rsidRPr="00730D07" w:rsidTr="00730D07">
        <w:trPr>
          <w:trHeight w:val="274"/>
        </w:trPr>
        <w:tc>
          <w:tcPr>
            <w:tcW w:w="635" w:type="pct"/>
            <w:vAlign w:val="center"/>
          </w:tcPr>
          <w:p w:rsidR="00730D07" w:rsidRPr="00730D07" w:rsidRDefault="00730D07" w:rsidP="00D92BD7">
            <w:pPr>
              <w:spacing w:after="0" w:line="240" w:lineRule="auto"/>
              <w:jc w:val="center"/>
              <w:rPr>
                <w:rFonts w:ascii="Times New Roman" w:eastAsia="Calibri" w:hAnsi="Times New Roman"/>
                <w:b/>
                <w:sz w:val="20"/>
                <w:szCs w:val="18"/>
                <w:lang w:val="tr-TR"/>
              </w:rPr>
            </w:pPr>
            <w:r w:rsidRPr="00730D07">
              <w:rPr>
                <w:rFonts w:ascii="Times New Roman" w:eastAsia="Calibri" w:hAnsi="Times New Roman"/>
                <w:b/>
                <w:sz w:val="20"/>
                <w:szCs w:val="18"/>
                <w:lang w:val="tr-TR"/>
              </w:rPr>
              <w:t>5</w:t>
            </w:r>
          </w:p>
        </w:tc>
        <w:tc>
          <w:tcPr>
            <w:tcW w:w="1183" w:type="pct"/>
            <w:vAlign w:val="center"/>
          </w:tcPr>
          <w:p w:rsidR="00730D07" w:rsidRPr="00730D07" w:rsidRDefault="00730D07" w:rsidP="00D92BD7">
            <w:pPr>
              <w:spacing w:after="0" w:line="240" w:lineRule="auto"/>
              <w:rPr>
                <w:rFonts w:ascii="Times New Roman" w:eastAsia="Calibri" w:hAnsi="Times New Roman"/>
                <w:sz w:val="20"/>
                <w:szCs w:val="18"/>
                <w:lang w:val="tr-TR"/>
              </w:rPr>
            </w:pPr>
            <w:r w:rsidRPr="00730D07">
              <w:rPr>
                <w:rFonts w:ascii="Times New Roman" w:eastAsia="Calibri" w:hAnsi="Times New Roman"/>
                <w:sz w:val="20"/>
                <w:szCs w:val="18"/>
                <w:lang w:val="tr-TR"/>
              </w:rPr>
              <w:t xml:space="preserve">Kullanıcıların, bildirimli kesintiler hakkında yazılı, işitsel veya görsel basın yayın kuruluşları ve dağıtım şirketi internet sitesi aracılığıyla bilgilendirilmesi </w:t>
            </w:r>
          </w:p>
        </w:tc>
        <w:tc>
          <w:tcPr>
            <w:tcW w:w="2231" w:type="pct"/>
            <w:vAlign w:val="center"/>
          </w:tcPr>
          <w:p w:rsidR="00730D07" w:rsidRPr="00730D07" w:rsidRDefault="00730D07" w:rsidP="00D92BD7">
            <w:pPr>
              <w:spacing w:after="0" w:line="240" w:lineRule="auto"/>
              <w:rPr>
                <w:rFonts w:ascii="Times New Roman" w:eastAsia="Calibri" w:hAnsi="Times New Roman"/>
                <w:sz w:val="20"/>
                <w:szCs w:val="18"/>
                <w:lang w:val="tr-TR"/>
              </w:rPr>
            </w:pPr>
            <w:r w:rsidRPr="00730D07">
              <w:rPr>
                <w:rFonts w:ascii="Times New Roman" w:eastAsia="Calibri" w:hAnsi="Times New Roman"/>
                <w:sz w:val="20"/>
                <w:szCs w:val="18"/>
                <w:lang w:val="tr-TR"/>
              </w:rPr>
              <w:t>Kesintiden en az kırk sekiz saat önce</w:t>
            </w:r>
          </w:p>
        </w:tc>
        <w:tc>
          <w:tcPr>
            <w:tcW w:w="951" w:type="pct"/>
            <w:vAlign w:val="center"/>
          </w:tcPr>
          <w:p w:rsidR="00730D07" w:rsidRPr="00730D07" w:rsidRDefault="00730D07" w:rsidP="00D92BD7">
            <w:pPr>
              <w:spacing w:after="0" w:line="240" w:lineRule="auto"/>
              <w:jc w:val="center"/>
              <w:rPr>
                <w:rFonts w:ascii="Times New Roman" w:eastAsia="Calibri" w:hAnsi="Times New Roman"/>
                <w:sz w:val="20"/>
                <w:szCs w:val="18"/>
                <w:lang w:val="tr-TR"/>
              </w:rPr>
            </w:pPr>
            <w:r w:rsidRPr="00730D07">
              <w:rPr>
                <w:rFonts w:ascii="Times New Roman" w:eastAsia="Calibri" w:hAnsi="Times New Roman"/>
                <w:sz w:val="20"/>
                <w:szCs w:val="18"/>
                <w:lang w:val="tr-TR"/>
              </w:rPr>
              <w:t xml:space="preserve">Dağıtım şirketi, bu madde kapsamındaki bildirim yükümlülüğüne uymadığı kesintilerin listesini müteakip yılın 31 Ocak tarihine kadar Kuruma bildirir. Bildirilen kesintiler için kesinti başına şirketin sonraki yıl sistem işletim gelir tavanından </w:t>
            </w:r>
          </w:p>
          <w:p w:rsidR="00730D07" w:rsidRPr="00730D07" w:rsidRDefault="00730D07" w:rsidP="00730D07">
            <w:pPr>
              <w:spacing w:after="0" w:line="240" w:lineRule="auto"/>
              <w:jc w:val="center"/>
              <w:rPr>
                <w:rFonts w:ascii="Times New Roman" w:eastAsia="Calibri" w:hAnsi="Times New Roman"/>
                <w:sz w:val="20"/>
                <w:szCs w:val="18"/>
                <w:lang w:val="tr-TR"/>
              </w:rPr>
            </w:pPr>
            <w:r w:rsidRPr="00730D07">
              <w:rPr>
                <w:rFonts w:ascii="Times New Roman" w:eastAsia="Calibri" w:hAnsi="Times New Roman"/>
                <w:sz w:val="20"/>
                <w:szCs w:val="18"/>
                <w:lang w:val="tr-TR"/>
              </w:rPr>
              <w:lastRenderedPageBreak/>
              <w:t xml:space="preserve">1.600 TL düşülür </w:t>
            </w:r>
          </w:p>
        </w:tc>
      </w:tr>
      <w:tr w:rsidR="00730D07" w:rsidRPr="00730D07" w:rsidTr="00D92BD7">
        <w:tc>
          <w:tcPr>
            <w:tcW w:w="635" w:type="pct"/>
            <w:vAlign w:val="center"/>
          </w:tcPr>
          <w:p w:rsidR="00730D07" w:rsidRPr="00730D07" w:rsidRDefault="00730D07" w:rsidP="00D92BD7">
            <w:pPr>
              <w:spacing w:after="0" w:line="240" w:lineRule="auto"/>
              <w:jc w:val="center"/>
              <w:rPr>
                <w:rFonts w:ascii="Times New Roman" w:eastAsia="Calibri" w:hAnsi="Times New Roman"/>
                <w:b/>
                <w:sz w:val="20"/>
                <w:szCs w:val="18"/>
                <w:lang w:val="tr-TR"/>
              </w:rPr>
            </w:pPr>
            <w:r w:rsidRPr="00730D07">
              <w:rPr>
                <w:rFonts w:ascii="Times New Roman" w:eastAsia="Calibri" w:hAnsi="Times New Roman"/>
                <w:b/>
                <w:sz w:val="20"/>
                <w:szCs w:val="18"/>
                <w:lang w:val="tr-TR"/>
              </w:rPr>
              <w:lastRenderedPageBreak/>
              <w:t>6</w:t>
            </w:r>
          </w:p>
        </w:tc>
        <w:tc>
          <w:tcPr>
            <w:tcW w:w="1183" w:type="pct"/>
            <w:vAlign w:val="center"/>
          </w:tcPr>
          <w:p w:rsidR="00730D07" w:rsidRPr="00730D07" w:rsidRDefault="00730D07" w:rsidP="00D92BD7">
            <w:pPr>
              <w:spacing w:after="0" w:line="240" w:lineRule="auto"/>
              <w:rPr>
                <w:rFonts w:ascii="Times New Roman" w:eastAsia="Calibri" w:hAnsi="Times New Roman"/>
                <w:sz w:val="20"/>
                <w:szCs w:val="18"/>
                <w:lang w:val="tr-TR"/>
              </w:rPr>
            </w:pPr>
            <w:r w:rsidRPr="00730D07">
              <w:rPr>
                <w:rFonts w:ascii="Times New Roman" w:eastAsia="Calibri" w:hAnsi="Times New Roman"/>
                <w:sz w:val="20"/>
                <w:szCs w:val="18"/>
                <w:lang w:val="tr-TR"/>
              </w:rPr>
              <w:t>Kullanıcı hizmetleri birimi tarafından kaydedilen başvuruların sonuçlandırılarak öngörülen işlemin talep ettiği biçimde başvuru sahibine bildirilmesi</w:t>
            </w:r>
          </w:p>
        </w:tc>
        <w:tc>
          <w:tcPr>
            <w:tcW w:w="2231" w:type="pct"/>
            <w:vAlign w:val="center"/>
          </w:tcPr>
          <w:p w:rsidR="00730D07" w:rsidRPr="00730D07" w:rsidRDefault="00730D07" w:rsidP="00D92BD7">
            <w:pPr>
              <w:spacing w:after="0" w:line="240" w:lineRule="auto"/>
              <w:rPr>
                <w:rFonts w:ascii="Times New Roman" w:eastAsia="Calibri" w:hAnsi="Times New Roman"/>
                <w:sz w:val="20"/>
                <w:szCs w:val="18"/>
                <w:lang w:val="tr-TR"/>
              </w:rPr>
            </w:pPr>
            <w:r w:rsidRPr="00730D07">
              <w:rPr>
                <w:rFonts w:ascii="Times New Roman" w:eastAsia="Calibri" w:hAnsi="Times New Roman"/>
                <w:sz w:val="20"/>
                <w:szCs w:val="18"/>
                <w:lang w:val="tr-TR"/>
              </w:rPr>
              <w:t>On beş iş günü içerisinde</w:t>
            </w:r>
          </w:p>
        </w:tc>
        <w:tc>
          <w:tcPr>
            <w:tcW w:w="951" w:type="pct"/>
            <w:tcBorders>
              <w:bottom w:val="single" w:sz="4" w:space="0" w:color="auto"/>
            </w:tcBorders>
            <w:vAlign w:val="center"/>
          </w:tcPr>
          <w:p w:rsidR="00730D07" w:rsidRPr="00730D07" w:rsidRDefault="00730D07" w:rsidP="00D92BD7">
            <w:pPr>
              <w:spacing w:after="0" w:line="240" w:lineRule="auto"/>
              <w:jc w:val="center"/>
              <w:rPr>
                <w:rFonts w:ascii="Times New Roman" w:eastAsia="Calibri" w:hAnsi="Times New Roman"/>
                <w:sz w:val="20"/>
                <w:szCs w:val="18"/>
                <w:lang w:val="tr-TR"/>
              </w:rPr>
            </w:pPr>
            <w:r w:rsidRPr="00730D07">
              <w:rPr>
                <w:rFonts w:ascii="Times New Roman" w:hAnsi="Times New Roman"/>
                <w:sz w:val="20"/>
                <w:szCs w:val="18"/>
                <w:lang w:val="tr-TR"/>
              </w:rPr>
              <w:t xml:space="preserve">Mesken Abonesi: 40 </w:t>
            </w:r>
            <w:r w:rsidRPr="00730D07">
              <w:rPr>
                <w:rFonts w:ascii="Times New Roman" w:eastAsia="Calibri" w:hAnsi="Times New Roman"/>
                <w:sz w:val="20"/>
                <w:szCs w:val="18"/>
                <w:lang w:val="tr-TR"/>
              </w:rPr>
              <w:t>TL</w:t>
            </w:r>
          </w:p>
          <w:p w:rsidR="00730D07" w:rsidRPr="00730D07" w:rsidRDefault="00730D07" w:rsidP="00D92BD7">
            <w:pPr>
              <w:spacing w:after="0" w:line="240" w:lineRule="auto"/>
              <w:jc w:val="center"/>
              <w:rPr>
                <w:rFonts w:ascii="Times New Roman" w:eastAsia="Calibri" w:hAnsi="Times New Roman"/>
                <w:sz w:val="20"/>
                <w:szCs w:val="18"/>
                <w:lang w:val="tr-TR"/>
              </w:rPr>
            </w:pPr>
            <w:r w:rsidRPr="00730D07">
              <w:rPr>
                <w:rFonts w:ascii="Times New Roman" w:hAnsi="Times New Roman"/>
                <w:sz w:val="20"/>
                <w:szCs w:val="18"/>
                <w:lang w:val="tr-TR"/>
              </w:rPr>
              <w:t xml:space="preserve">Diğer Aboneler: 80 </w:t>
            </w:r>
            <w:r w:rsidRPr="00730D07">
              <w:rPr>
                <w:rFonts w:ascii="Times New Roman" w:eastAsia="Calibri" w:hAnsi="Times New Roman"/>
                <w:sz w:val="20"/>
                <w:szCs w:val="18"/>
                <w:lang w:val="tr-TR"/>
              </w:rPr>
              <w:t>TL</w:t>
            </w:r>
          </w:p>
        </w:tc>
      </w:tr>
      <w:tr w:rsidR="00730D07" w:rsidRPr="00730D07" w:rsidTr="00D92BD7">
        <w:tc>
          <w:tcPr>
            <w:tcW w:w="635" w:type="pct"/>
            <w:vAlign w:val="center"/>
          </w:tcPr>
          <w:p w:rsidR="00730D07" w:rsidRPr="00730D07" w:rsidRDefault="00730D07" w:rsidP="00D92BD7">
            <w:pPr>
              <w:spacing w:after="0" w:line="240" w:lineRule="auto"/>
              <w:jc w:val="center"/>
              <w:rPr>
                <w:rFonts w:ascii="Times New Roman" w:eastAsia="Calibri" w:hAnsi="Times New Roman"/>
                <w:b/>
                <w:sz w:val="20"/>
                <w:szCs w:val="18"/>
                <w:lang w:val="tr-TR"/>
              </w:rPr>
            </w:pPr>
            <w:r w:rsidRPr="00730D07">
              <w:rPr>
                <w:rFonts w:ascii="Times New Roman" w:eastAsia="Calibri" w:hAnsi="Times New Roman"/>
                <w:b/>
                <w:sz w:val="20"/>
                <w:szCs w:val="18"/>
                <w:lang w:val="tr-TR"/>
              </w:rPr>
              <w:t>7.1</w:t>
            </w:r>
          </w:p>
        </w:tc>
        <w:tc>
          <w:tcPr>
            <w:tcW w:w="1183" w:type="pct"/>
            <w:vAlign w:val="center"/>
          </w:tcPr>
          <w:p w:rsidR="00730D07" w:rsidRPr="00730D07" w:rsidRDefault="00730D07" w:rsidP="00D92BD7">
            <w:pPr>
              <w:spacing w:after="0" w:line="240" w:lineRule="auto"/>
              <w:rPr>
                <w:rFonts w:ascii="Times New Roman" w:eastAsia="Calibri" w:hAnsi="Times New Roman"/>
                <w:sz w:val="20"/>
                <w:szCs w:val="18"/>
                <w:lang w:val="tr-TR"/>
              </w:rPr>
            </w:pPr>
            <w:r w:rsidRPr="00730D07">
              <w:rPr>
                <w:rFonts w:ascii="Times New Roman" w:eastAsia="Calibri" w:hAnsi="Times New Roman"/>
                <w:sz w:val="20"/>
                <w:szCs w:val="18"/>
                <w:lang w:val="tr-TR"/>
              </w:rPr>
              <w:t>Elektrik enerjisinin verilmesi veya bağlanması</w:t>
            </w:r>
          </w:p>
        </w:tc>
        <w:tc>
          <w:tcPr>
            <w:tcW w:w="2231" w:type="pct"/>
            <w:vAlign w:val="center"/>
          </w:tcPr>
          <w:p w:rsidR="00730D07" w:rsidRPr="00730D07" w:rsidRDefault="00730D07" w:rsidP="00D92BD7">
            <w:pPr>
              <w:pStyle w:val="NormalWeb"/>
              <w:spacing w:before="0" w:beforeAutospacing="0" w:after="0" w:afterAutospacing="0"/>
              <w:jc w:val="both"/>
              <w:rPr>
                <w:rFonts w:eastAsia="Calibri"/>
                <w:sz w:val="20"/>
                <w:szCs w:val="18"/>
                <w:lang w:val="tr-TR"/>
              </w:rPr>
            </w:pPr>
            <w:r w:rsidRPr="00730D07">
              <w:rPr>
                <w:rFonts w:eastAsia="Calibri"/>
                <w:sz w:val="20"/>
                <w:szCs w:val="18"/>
                <w:lang w:val="tr-TR"/>
              </w:rPr>
              <w:t xml:space="preserve">Perakende satış sözleşmesinin dağıtım şirketine ulaşmasından veya kullanıcının yükümlülüğünü yerine getirmesine ilişkin tedarikçi tarafından bildirimde bulunulmasından itibaren </w:t>
            </w:r>
            <w:r w:rsidRPr="00730D07">
              <w:rPr>
                <w:sz w:val="20"/>
                <w:szCs w:val="18"/>
                <w:lang w:val="tr-TR"/>
              </w:rPr>
              <w:t xml:space="preserve">kentsel ve </w:t>
            </w:r>
            <w:proofErr w:type="spellStart"/>
            <w:r w:rsidRPr="00730D07">
              <w:rPr>
                <w:sz w:val="20"/>
                <w:szCs w:val="18"/>
                <w:lang w:val="tr-TR"/>
              </w:rPr>
              <w:t>kentaltı</w:t>
            </w:r>
            <w:proofErr w:type="spellEnd"/>
            <w:r w:rsidRPr="00730D07">
              <w:rPr>
                <w:sz w:val="20"/>
                <w:szCs w:val="18"/>
                <w:lang w:val="tr-TR"/>
              </w:rPr>
              <w:t xml:space="preserve"> dağıtım bölgesinde 24 saat içerisinde</w:t>
            </w:r>
          </w:p>
        </w:tc>
        <w:tc>
          <w:tcPr>
            <w:tcW w:w="951" w:type="pct"/>
            <w:vMerge w:val="restart"/>
            <w:vAlign w:val="center"/>
          </w:tcPr>
          <w:p w:rsidR="00730D07" w:rsidRPr="00730D07" w:rsidRDefault="00730D07" w:rsidP="00D92BD7">
            <w:pPr>
              <w:spacing w:after="0" w:line="240" w:lineRule="auto"/>
              <w:jc w:val="center"/>
              <w:rPr>
                <w:rFonts w:ascii="Times New Roman" w:eastAsia="Calibri" w:hAnsi="Times New Roman"/>
                <w:sz w:val="20"/>
                <w:szCs w:val="18"/>
                <w:lang w:val="tr-TR"/>
              </w:rPr>
            </w:pPr>
            <w:r w:rsidRPr="00730D07">
              <w:rPr>
                <w:rFonts w:ascii="Times New Roman" w:hAnsi="Times New Roman"/>
                <w:sz w:val="20"/>
                <w:szCs w:val="18"/>
                <w:lang w:val="tr-TR"/>
              </w:rPr>
              <w:t xml:space="preserve">Mesken Abonesi: 40 </w:t>
            </w:r>
            <w:r w:rsidRPr="00730D07">
              <w:rPr>
                <w:rFonts w:ascii="Times New Roman" w:eastAsia="Calibri" w:hAnsi="Times New Roman"/>
                <w:sz w:val="20"/>
                <w:szCs w:val="18"/>
                <w:lang w:val="tr-TR"/>
              </w:rPr>
              <w:t>TL</w:t>
            </w:r>
          </w:p>
          <w:p w:rsidR="00730D07" w:rsidRPr="00730D07" w:rsidRDefault="00730D07" w:rsidP="00D92BD7">
            <w:pPr>
              <w:spacing w:after="0" w:line="240" w:lineRule="auto"/>
              <w:jc w:val="center"/>
              <w:rPr>
                <w:rFonts w:ascii="Times New Roman" w:eastAsia="Calibri" w:hAnsi="Times New Roman"/>
                <w:sz w:val="20"/>
                <w:szCs w:val="18"/>
                <w:lang w:val="tr-TR"/>
              </w:rPr>
            </w:pPr>
            <w:r w:rsidRPr="00730D07">
              <w:rPr>
                <w:rFonts w:ascii="Times New Roman" w:eastAsia="Calibri" w:hAnsi="Times New Roman"/>
                <w:sz w:val="20"/>
                <w:szCs w:val="18"/>
                <w:lang w:val="tr-TR"/>
              </w:rPr>
              <w:t>Diğer Aboneler: 320 TL</w:t>
            </w:r>
          </w:p>
        </w:tc>
      </w:tr>
      <w:tr w:rsidR="00730D07" w:rsidRPr="00730D07" w:rsidTr="00D92BD7">
        <w:tc>
          <w:tcPr>
            <w:tcW w:w="635" w:type="pct"/>
            <w:vAlign w:val="center"/>
          </w:tcPr>
          <w:p w:rsidR="00730D07" w:rsidRPr="00730D07" w:rsidRDefault="00730D07" w:rsidP="00D92BD7">
            <w:pPr>
              <w:spacing w:after="0" w:line="240" w:lineRule="auto"/>
              <w:jc w:val="center"/>
              <w:rPr>
                <w:rFonts w:ascii="Times New Roman" w:eastAsia="Calibri" w:hAnsi="Times New Roman"/>
                <w:b/>
                <w:sz w:val="20"/>
                <w:szCs w:val="18"/>
                <w:lang w:val="tr-TR"/>
              </w:rPr>
            </w:pPr>
            <w:r w:rsidRPr="00730D07">
              <w:rPr>
                <w:rFonts w:ascii="Times New Roman" w:eastAsia="Calibri" w:hAnsi="Times New Roman"/>
                <w:b/>
                <w:sz w:val="20"/>
                <w:szCs w:val="18"/>
                <w:lang w:val="tr-TR"/>
              </w:rPr>
              <w:t>7.2</w:t>
            </w:r>
          </w:p>
        </w:tc>
        <w:tc>
          <w:tcPr>
            <w:tcW w:w="1183" w:type="pct"/>
            <w:vAlign w:val="center"/>
          </w:tcPr>
          <w:p w:rsidR="00730D07" w:rsidRPr="00730D07" w:rsidRDefault="00730D07" w:rsidP="00D92BD7">
            <w:pPr>
              <w:spacing w:after="0" w:line="240" w:lineRule="auto"/>
              <w:rPr>
                <w:rFonts w:ascii="Times New Roman" w:eastAsia="Calibri" w:hAnsi="Times New Roman"/>
                <w:sz w:val="20"/>
                <w:szCs w:val="18"/>
                <w:lang w:val="tr-TR"/>
              </w:rPr>
            </w:pPr>
            <w:r w:rsidRPr="00730D07">
              <w:rPr>
                <w:rFonts w:ascii="Times New Roman" w:eastAsia="Calibri" w:hAnsi="Times New Roman"/>
                <w:sz w:val="20"/>
                <w:szCs w:val="18"/>
                <w:lang w:val="tr-TR"/>
              </w:rPr>
              <w:t>Elektrik enerjisinin verilmesi veya bağlanması</w:t>
            </w:r>
          </w:p>
          <w:p w:rsidR="00730D07" w:rsidRPr="00730D07" w:rsidRDefault="00730D07" w:rsidP="00D92BD7">
            <w:pPr>
              <w:spacing w:after="0" w:line="240" w:lineRule="auto"/>
              <w:rPr>
                <w:rFonts w:ascii="Times New Roman" w:eastAsia="Calibri" w:hAnsi="Times New Roman"/>
                <w:sz w:val="20"/>
                <w:szCs w:val="18"/>
                <w:lang w:val="tr-TR"/>
              </w:rPr>
            </w:pPr>
          </w:p>
        </w:tc>
        <w:tc>
          <w:tcPr>
            <w:tcW w:w="2231" w:type="pct"/>
            <w:vAlign w:val="center"/>
          </w:tcPr>
          <w:p w:rsidR="00730D07" w:rsidRPr="00730D07" w:rsidRDefault="00730D07" w:rsidP="00D92BD7">
            <w:pPr>
              <w:pStyle w:val="NormalWeb"/>
              <w:spacing w:before="0" w:beforeAutospacing="0" w:after="0" w:afterAutospacing="0"/>
              <w:jc w:val="both"/>
              <w:rPr>
                <w:sz w:val="20"/>
                <w:szCs w:val="18"/>
                <w:lang w:val="tr-TR"/>
              </w:rPr>
            </w:pPr>
            <w:r w:rsidRPr="00730D07">
              <w:rPr>
                <w:rFonts w:eastAsia="Calibri"/>
                <w:sz w:val="20"/>
                <w:szCs w:val="18"/>
                <w:lang w:val="tr-TR"/>
              </w:rPr>
              <w:t>Perakende satış sözleşmesinin dağıtım şirketine ulaşmasından veya kullanıcının yükümlülüğünü yerine getirmesine ilişkin tedarikçi tarafından bildirimde bulunulmasından itibaren</w:t>
            </w:r>
            <w:r w:rsidRPr="00730D07">
              <w:rPr>
                <w:sz w:val="20"/>
                <w:szCs w:val="18"/>
                <w:lang w:val="tr-TR"/>
              </w:rPr>
              <w:t xml:space="preserve"> kırsal dağıtım bölgesinde 48 saat içerisinde</w:t>
            </w:r>
          </w:p>
        </w:tc>
        <w:tc>
          <w:tcPr>
            <w:tcW w:w="951" w:type="pct"/>
            <w:vMerge/>
            <w:tcBorders>
              <w:bottom w:val="single" w:sz="4" w:space="0" w:color="auto"/>
            </w:tcBorders>
            <w:vAlign w:val="center"/>
          </w:tcPr>
          <w:p w:rsidR="00730D07" w:rsidRPr="00730D07" w:rsidRDefault="00730D07" w:rsidP="00D92BD7">
            <w:pPr>
              <w:spacing w:after="0" w:line="240" w:lineRule="auto"/>
              <w:jc w:val="center"/>
              <w:rPr>
                <w:rFonts w:ascii="Times New Roman" w:hAnsi="Times New Roman"/>
                <w:sz w:val="20"/>
                <w:szCs w:val="18"/>
                <w:lang w:val="tr-TR"/>
              </w:rPr>
            </w:pPr>
          </w:p>
        </w:tc>
      </w:tr>
      <w:tr w:rsidR="00730D07" w:rsidRPr="00730D07" w:rsidTr="00D92BD7">
        <w:tc>
          <w:tcPr>
            <w:tcW w:w="635" w:type="pct"/>
            <w:vAlign w:val="center"/>
          </w:tcPr>
          <w:p w:rsidR="00730D07" w:rsidRPr="00730D07" w:rsidRDefault="00730D07" w:rsidP="00D92BD7">
            <w:pPr>
              <w:spacing w:after="0" w:line="240" w:lineRule="auto"/>
              <w:jc w:val="center"/>
              <w:rPr>
                <w:rFonts w:ascii="Times New Roman" w:eastAsia="Calibri" w:hAnsi="Times New Roman"/>
                <w:b/>
                <w:sz w:val="20"/>
                <w:szCs w:val="18"/>
                <w:lang w:val="tr-TR"/>
              </w:rPr>
            </w:pPr>
            <w:r w:rsidRPr="00730D07">
              <w:rPr>
                <w:rFonts w:ascii="Times New Roman" w:eastAsia="Calibri" w:hAnsi="Times New Roman"/>
                <w:b/>
                <w:sz w:val="20"/>
                <w:szCs w:val="18"/>
                <w:lang w:val="tr-TR"/>
              </w:rPr>
              <w:t>8.1</w:t>
            </w:r>
          </w:p>
        </w:tc>
        <w:tc>
          <w:tcPr>
            <w:tcW w:w="1183" w:type="pct"/>
            <w:vAlign w:val="center"/>
          </w:tcPr>
          <w:p w:rsidR="00730D07" w:rsidRPr="00730D07" w:rsidRDefault="00730D07" w:rsidP="00D92BD7">
            <w:pPr>
              <w:spacing w:after="0" w:line="240" w:lineRule="auto"/>
              <w:rPr>
                <w:rFonts w:ascii="Times New Roman" w:eastAsia="Calibri" w:hAnsi="Times New Roman"/>
                <w:sz w:val="20"/>
                <w:szCs w:val="18"/>
                <w:lang w:val="tr-TR"/>
              </w:rPr>
            </w:pPr>
            <w:r w:rsidRPr="00730D07">
              <w:rPr>
                <w:rFonts w:ascii="Times New Roman" w:eastAsia="Calibri" w:hAnsi="Times New Roman"/>
                <w:sz w:val="20"/>
                <w:szCs w:val="18"/>
                <w:lang w:val="tr-TR"/>
              </w:rPr>
              <w:t>Kullanıcı teçhizat hasarının tazminine ilişkin başvuruyu sonuçlandırma</w:t>
            </w:r>
          </w:p>
        </w:tc>
        <w:tc>
          <w:tcPr>
            <w:tcW w:w="2231" w:type="pct"/>
            <w:vAlign w:val="center"/>
          </w:tcPr>
          <w:p w:rsidR="00730D07" w:rsidRPr="00730D07" w:rsidRDefault="00730D07" w:rsidP="00D92BD7">
            <w:pPr>
              <w:spacing w:after="0" w:line="240" w:lineRule="auto"/>
              <w:rPr>
                <w:rFonts w:ascii="Times New Roman" w:eastAsia="Calibri" w:hAnsi="Times New Roman"/>
                <w:sz w:val="20"/>
                <w:szCs w:val="18"/>
                <w:lang w:val="tr-TR"/>
              </w:rPr>
            </w:pPr>
            <w:r w:rsidRPr="00730D07">
              <w:rPr>
                <w:rFonts w:ascii="Times New Roman" w:eastAsia="Calibri" w:hAnsi="Times New Roman"/>
                <w:sz w:val="20"/>
                <w:szCs w:val="18"/>
                <w:lang w:val="tr-TR"/>
              </w:rPr>
              <w:t>On iş günü içerisinde</w:t>
            </w:r>
          </w:p>
        </w:tc>
        <w:tc>
          <w:tcPr>
            <w:tcW w:w="951" w:type="pct"/>
            <w:vAlign w:val="center"/>
          </w:tcPr>
          <w:p w:rsidR="00730D07" w:rsidRPr="00730D07" w:rsidRDefault="00730D07" w:rsidP="00D92BD7">
            <w:pPr>
              <w:spacing w:after="0" w:line="240" w:lineRule="auto"/>
              <w:jc w:val="center"/>
              <w:rPr>
                <w:rFonts w:ascii="Times New Roman" w:hAnsi="Times New Roman"/>
                <w:sz w:val="20"/>
                <w:szCs w:val="18"/>
                <w:lang w:val="tr-TR"/>
              </w:rPr>
            </w:pPr>
            <w:r w:rsidRPr="00730D07">
              <w:rPr>
                <w:rFonts w:ascii="Times New Roman" w:hAnsi="Times New Roman"/>
                <w:sz w:val="20"/>
                <w:szCs w:val="18"/>
                <w:lang w:val="tr-TR"/>
              </w:rPr>
              <w:t>Teçhizat hasarı tazmin edilir</w:t>
            </w:r>
          </w:p>
        </w:tc>
      </w:tr>
      <w:tr w:rsidR="00730D07" w:rsidRPr="00730D07" w:rsidTr="00D92BD7">
        <w:tc>
          <w:tcPr>
            <w:tcW w:w="635" w:type="pct"/>
            <w:vAlign w:val="center"/>
          </w:tcPr>
          <w:p w:rsidR="00730D07" w:rsidRPr="00730D07" w:rsidRDefault="00730D07" w:rsidP="00D92BD7">
            <w:pPr>
              <w:spacing w:after="0" w:line="240" w:lineRule="auto"/>
              <w:jc w:val="center"/>
              <w:rPr>
                <w:rFonts w:ascii="Times New Roman" w:eastAsia="Calibri" w:hAnsi="Times New Roman"/>
                <w:b/>
                <w:sz w:val="20"/>
                <w:szCs w:val="18"/>
                <w:lang w:val="tr-TR"/>
              </w:rPr>
            </w:pPr>
            <w:r w:rsidRPr="00730D07">
              <w:rPr>
                <w:rFonts w:ascii="Times New Roman" w:eastAsia="Calibri" w:hAnsi="Times New Roman"/>
                <w:b/>
                <w:sz w:val="20"/>
                <w:szCs w:val="18"/>
                <w:lang w:val="tr-TR"/>
              </w:rPr>
              <w:t>8.2</w:t>
            </w:r>
          </w:p>
        </w:tc>
        <w:tc>
          <w:tcPr>
            <w:tcW w:w="1183" w:type="pct"/>
            <w:vAlign w:val="center"/>
          </w:tcPr>
          <w:p w:rsidR="00730D07" w:rsidRPr="00730D07" w:rsidRDefault="00730D07" w:rsidP="00D92BD7">
            <w:pPr>
              <w:spacing w:after="0" w:line="240" w:lineRule="auto"/>
              <w:rPr>
                <w:rFonts w:ascii="Times New Roman" w:eastAsia="Calibri" w:hAnsi="Times New Roman"/>
                <w:sz w:val="20"/>
                <w:szCs w:val="18"/>
                <w:lang w:val="tr-TR"/>
              </w:rPr>
            </w:pPr>
            <w:r w:rsidRPr="00730D07">
              <w:rPr>
                <w:rFonts w:ascii="Times New Roman" w:eastAsia="Calibri" w:hAnsi="Times New Roman"/>
                <w:sz w:val="20"/>
                <w:szCs w:val="18"/>
                <w:lang w:val="tr-TR"/>
              </w:rPr>
              <w:t xml:space="preserve">Kullanıcının teçhizat hasarının ödenmesi </w:t>
            </w:r>
          </w:p>
        </w:tc>
        <w:tc>
          <w:tcPr>
            <w:tcW w:w="2231" w:type="pct"/>
            <w:vAlign w:val="center"/>
          </w:tcPr>
          <w:p w:rsidR="00730D07" w:rsidRPr="00730D07" w:rsidDel="004871CA" w:rsidRDefault="00730D07" w:rsidP="00D92BD7">
            <w:pPr>
              <w:spacing w:after="0" w:line="240" w:lineRule="auto"/>
              <w:rPr>
                <w:rFonts w:ascii="Times New Roman" w:eastAsia="Calibri" w:hAnsi="Times New Roman"/>
                <w:sz w:val="20"/>
                <w:szCs w:val="18"/>
                <w:lang w:val="tr-TR"/>
              </w:rPr>
            </w:pPr>
            <w:r w:rsidRPr="00730D07">
              <w:rPr>
                <w:rFonts w:ascii="Times New Roman" w:eastAsia="Calibri" w:hAnsi="Times New Roman"/>
                <w:sz w:val="20"/>
                <w:szCs w:val="18"/>
                <w:lang w:val="tr-TR"/>
              </w:rPr>
              <w:t>Kullanıcı tarafından onarım masrafına ilişkin faturanın ibrazından itibaren beş iş günü içerisinde</w:t>
            </w:r>
          </w:p>
        </w:tc>
        <w:tc>
          <w:tcPr>
            <w:tcW w:w="951" w:type="pct"/>
            <w:vMerge w:val="restart"/>
            <w:vAlign w:val="center"/>
          </w:tcPr>
          <w:p w:rsidR="00730D07" w:rsidRPr="00730D07" w:rsidRDefault="00730D07" w:rsidP="00D92BD7">
            <w:pPr>
              <w:spacing w:after="0" w:line="240" w:lineRule="auto"/>
              <w:jc w:val="center"/>
              <w:rPr>
                <w:rFonts w:ascii="Times New Roman" w:eastAsia="Calibri" w:hAnsi="Times New Roman"/>
                <w:sz w:val="20"/>
                <w:szCs w:val="18"/>
                <w:lang w:val="tr-TR"/>
              </w:rPr>
            </w:pPr>
            <w:r w:rsidRPr="00730D07">
              <w:rPr>
                <w:rFonts w:ascii="Times New Roman" w:hAnsi="Times New Roman"/>
                <w:sz w:val="20"/>
                <w:szCs w:val="18"/>
                <w:lang w:val="tr-TR"/>
              </w:rPr>
              <w:t xml:space="preserve">Mesken Abonesi: 40 </w:t>
            </w:r>
            <w:r w:rsidRPr="00730D07">
              <w:rPr>
                <w:rFonts w:ascii="Times New Roman" w:eastAsia="Calibri" w:hAnsi="Times New Roman"/>
                <w:sz w:val="20"/>
                <w:szCs w:val="18"/>
                <w:lang w:val="tr-TR"/>
              </w:rPr>
              <w:t>TL</w:t>
            </w:r>
          </w:p>
          <w:p w:rsidR="00730D07" w:rsidRPr="00730D07" w:rsidRDefault="00730D07" w:rsidP="00D92BD7">
            <w:pPr>
              <w:spacing w:after="0" w:line="240" w:lineRule="auto"/>
              <w:jc w:val="center"/>
              <w:rPr>
                <w:rFonts w:ascii="Times New Roman" w:hAnsi="Times New Roman"/>
                <w:sz w:val="20"/>
                <w:szCs w:val="18"/>
                <w:lang w:val="tr-TR"/>
              </w:rPr>
            </w:pPr>
            <w:r w:rsidRPr="00730D07">
              <w:rPr>
                <w:rFonts w:ascii="Times New Roman" w:hAnsi="Times New Roman"/>
                <w:sz w:val="20"/>
                <w:szCs w:val="18"/>
                <w:lang w:val="tr-TR"/>
              </w:rPr>
              <w:t xml:space="preserve">Diğer Aboneler: 80 </w:t>
            </w:r>
            <w:r w:rsidRPr="00730D07">
              <w:rPr>
                <w:rFonts w:ascii="Times New Roman" w:eastAsia="Calibri" w:hAnsi="Times New Roman"/>
                <w:sz w:val="20"/>
                <w:szCs w:val="18"/>
                <w:lang w:val="tr-TR"/>
              </w:rPr>
              <w:t>TL</w:t>
            </w:r>
          </w:p>
        </w:tc>
      </w:tr>
      <w:tr w:rsidR="00730D07" w:rsidRPr="00730D07" w:rsidTr="00D92BD7">
        <w:tc>
          <w:tcPr>
            <w:tcW w:w="635" w:type="pct"/>
            <w:vAlign w:val="center"/>
          </w:tcPr>
          <w:p w:rsidR="00730D07" w:rsidRPr="00730D07" w:rsidRDefault="00730D07" w:rsidP="00D92BD7">
            <w:pPr>
              <w:spacing w:after="0" w:line="240" w:lineRule="auto"/>
              <w:jc w:val="center"/>
              <w:rPr>
                <w:rFonts w:ascii="Times New Roman" w:eastAsia="Calibri" w:hAnsi="Times New Roman"/>
                <w:b/>
                <w:sz w:val="20"/>
                <w:szCs w:val="18"/>
                <w:lang w:val="tr-TR"/>
              </w:rPr>
            </w:pPr>
            <w:r w:rsidRPr="00730D07">
              <w:rPr>
                <w:rFonts w:ascii="Times New Roman" w:eastAsia="Calibri" w:hAnsi="Times New Roman"/>
                <w:b/>
                <w:sz w:val="20"/>
                <w:szCs w:val="18"/>
                <w:lang w:val="tr-TR"/>
              </w:rPr>
              <w:t>8.3</w:t>
            </w:r>
          </w:p>
        </w:tc>
        <w:tc>
          <w:tcPr>
            <w:tcW w:w="1183" w:type="pct"/>
            <w:vAlign w:val="center"/>
          </w:tcPr>
          <w:p w:rsidR="00730D07" w:rsidRPr="00730D07" w:rsidRDefault="00730D07" w:rsidP="00D92BD7">
            <w:pPr>
              <w:spacing w:after="0" w:line="240" w:lineRule="auto"/>
              <w:rPr>
                <w:rFonts w:ascii="Times New Roman" w:eastAsia="Calibri" w:hAnsi="Times New Roman"/>
                <w:sz w:val="20"/>
                <w:szCs w:val="18"/>
                <w:lang w:val="tr-TR"/>
              </w:rPr>
            </w:pPr>
            <w:r w:rsidRPr="00730D07">
              <w:rPr>
                <w:rFonts w:ascii="Times New Roman" w:eastAsia="Calibri" w:hAnsi="Times New Roman"/>
                <w:sz w:val="20"/>
                <w:szCs w:val="18"/>
                <w:lang w:val="tr-TR"/>
              </w:rPr>
              <w:t xml:space="preserve">Kullanıcı teçhizatının onarılmasının sağlanması </w:t>
            </w:r>
          </w:p>
        </w:tc>
        <w:tc>
          <w:tcPr>
            <w:tcW w:w="2231" w:type="pct"/>
            <w:vAlign w:val="center"/>
          </w:tcPr>
          <w:p w:rsidR="00730D07" w:rsidRPr="00730D07" w:rsidRDefault="00730D07" w:rsidP="00D92BD7">
            <w:pPr>
              <w:spacing w:after="0" w:line="240" w:lineRule="auto"/>
              <w:rPr>
                <w:rFonts w:ascii="Times New Roman" w:eastAsia="Calibri" w:hAnsi="Times New Roman"/>
                <w:sz w:val="20"/>
                <w:szCs w:val="18"/>
                <w:lang w:val="tr-TR"/>
              </w:rPr>
            </w:pPr>
            <w:r w:rsidRPr="00730D07">
              <w:rPr>
                <w:rFonts w:ascii="Times New Roman" w:hAnsi="Times New Roman"/>
                <w:sz w:val="20"/>
                <w:szCs w:val="18"/>
                <w:lang w:val="tr-TR"/>
              </w:rPr>
              <w:t>On beş gün içerisinde</w:t>
            </w:r>
          </w:p>
        </w:tc>
        <w:tc>
          <w:tcPr>
            <w:tcW w:w="951" w:type="pct"/>
            <w:vMerge/>
            <w:vAlign w:val="center"/>
          </w:tcPr>
          <w:p w:rsidR="00730D07" w:rsidRPr="00730D07" w:rsidRDefault="00730D07" w:rsidP="00D92BD7">
            <w:pPr>
              <w:spacing w:after="0" w:line="240" w:lineRule="auto"/>
              <w:jc w:val="center"/>
              <w:rPr>
                <w:rFonts w:ascii="Times New Roman" w:hAnsi="Times New Roman"/>
                <w:sz w:val="20"/>
                <w:szCs w:val="18"/>
                <w:lang w:val="tr-TR"/>
              </w:rPr>
            </w:pPr>
          </w:p>
        </w:tc>
      </w:tr>
      <w:tr w:rsidR="00730D07" w:rsidRPr="00730D07" w:rsidTr="00D92BD7">
        <w:tc>
          <w:tcPr>
            <w:tcW w:w="635" w:type="pct"/>
            <w:vAlign w:val="center"/>
          </w:tcPr>
          <w:p w:rsidR="00730D07" w:rsidRPr="00730D07" w:rsidRDefault="00730D07" w:rsidP="00D92BD7">
            <w:pPr>
              <w:spacing w:after="0" w:line="240" w:lineRule="auto"/>
              <w:jc w:val="center"/>
              <w:rPr>
                <w:rFonts w:ascii="Times New Roman" w:eastAsia="Calibri" w:hAnsi="Times New Roman"/>
                <w:b/>
                <w:sz w:val="20"/>
                <w:szCs w:val="18"/>
                <w:lang w:val="tr-TR"/>
              </w:rPr>
            </w:pPr>
            <w:r w:rsidRPr="00730D07">
              <w:rPr>
                <w:rFonts w:ascii="Times New Roman" w:eastAsia="Calibri" w:hAnsi="Times New Roman"/>
                <w:b/>
                <w:sz w:val="20"/>
                <w:szCs w:val="18"/>
                <w:lang w:val="tr-TR"/>
              </w:rPr>
              <w:t>9</w:t>
            </w:r>
          </w:p>
        </w:tc>
        <w:tc>
          <w:tcPr>
            <w:tcW w:w="1183" w:type="pct"/>
            <w:vAlign w:val="center"/>
          </w:tcPr>
          <w:p w:rsidR="00730D07" w:rsidRPr="00730D07" w:rsidRDefault="00730D07" w:rsidP="00D92BD7">
            <w:pPr>
              <w:spacing w:after="0" w:line="240" w:lineRule="auto"/>
              <w:rPr>
                <w:rFonts w:ascii="Times New Roman" w:eastAsia="Calibri" w:hAnsi="Times New Roman"/>
                <w:sz w:val="20"/>
                <w:szCs w:val="18"/>
                <w:lang w:val="tr-TR"/>
              </w:rPr>
            </w:pPr>
            <w:r w:rsidRPr="00730D07">
              <w:rPr>
                <w:rFonts w:ascii="Times New Roman" w:eastAsia="ヒラギノ明朝 Pro W3" w:hAnsi="Times New Roman"/>
                <w:sz w:val="20"/>
                <w:szCs w:val="18"/>
                <w:lang w:val="tr-TR"/>
              </w:rPr>
              <w:t xml:space="preserve">Kullanıcı tarafından talep edilen sayaç </w:t>
            </w:r>
            <w:r w:rsidRPr="00730D07">
              <w:rPr>
                <w:rFonts w:ascii="Times New Roman" w:eastAsia="ヒラギノ明朝 Pro W3" w:hAnsi="Times New Roman"/>
                <w:sz w:val="20"/>
                <w:szCs w:val="18"/>
                <w:lang w:val="tr-TR" w:eastAsia="en-US"/>
              </w:rPr>
              <w:t>değişiminin</w:t>
            </w:r>
            <w:r w:rsidRPr="00730D07">
              <w:rPr>
                <w:rFonts w:ascii="Times New Roman" w:eastAsia="ヒラギノ明朝 Pro W3" w:hAnsi="Times New Roman"/>
                <w:sz w:val="20"/>
                <w:szCs w:val="18"/>
                <w:lang w:val="tr-TR"/>
              </w:rPr>
              <w:t xml:space="preserve"> yapılması</w:t>
            </w:r>
          </w:p>
        </w:tc>
        <w:tc>
          <w:tcPr>
            <w:tcW w:w="2231" w:type="pct"/>
            <w:vAlign w:val="center"/>
          </w:tcPr>
          <w:p w:rsidR="00730D07" w:rsidRPr="00730D07" w:rsidRDefault="00730D07" w:rsidP="00D92BD7">
            <w:pPr>
              <w:spacing w:after="0" w:line="240" w:lineRule="auto"/>
              <w:rPr>
                <w:rFonts w:ascii="Times New Roman" w:hAnsi="Times New Roman"/>
                <w:sz w:val="20"/>
                <w:szCs w:val="18"/>
                <w:lang w:val="tr-TR"/>
              </w:rPr>
            </w:pPr>
            <w:r w:rsidRPr="00730D07">
              <w:rPr>
                <w:rFonts w:ascii="Times New Roman" w:eastAsia="Calibri" w:hAnsi="Times New Roman"/>
                <w:sz w:val="20"/>
                <w:szCs w:val="18"/>
                <w:lang w:val="tr-TR"/>
              </w:rPr>
              <w:t>Kullanıcı tarafından başvuru yapıldıktan sonra 10 iş günü içerisinde sayacın sökülerek değiştirilmesi</w:t>
            </w:r>
          </w:p>
        </w:tc>
        <w:tc>
          <w:tcPr>
            <w:tcW w:w="951" w:type="pct"/>
            <w:vAlign w:val="center"/>
          </w:tcPr>
          <w:p w:rsidR="00730D07" w:rsidRPr="00730D07" w:rsidRDefault="00730D07" w:rsidP="00D92BD7">
            <w:pPr>
              <w:spacing w:after="0" w:line="240" w:lineRule="auto"/>
              <w:jc w:val="both"/>
              <w:rPr>
                <w:rFonts w:ascii="Times New Roman" w:eastAsia="Calibri" w:hAnsi="Times New Roman"/>
                <w:sz w:val="20"/>
                <w:szCs w:val="18"/>
                <w:lang w:val="tr-TR"/>
              </w:rPr>
            </w:pPr>
            <w:r w:rsidRPr="00730D07">
              <w:rPr>
                <w:rFonts w:ascii="Times New Roman" w:hAnsi="Times New Roman"/>
                <w:sz w:val="20"/>
                <w:szCs w:val="18"/>
                <w:lang w:val="tr-TR"/>
              </w:rPr>
              <w:t xml:space="preserve">Mesken Abonesi: 40 </w:t>
            </w:r>
            <w:r w:rsidRPr="00730D07">
              <w:rPr>
                <w:rFonts w:ascii="Times New Roman" w:eastAsia="Calibri" w:hAnsi="Times New Roman"/>
                <w:sz w:val="20"/>
                <w:szCs w:val="18"/>
                <w:lang w:val="tr-TR"/>
              </w:rPr>
              <w:t>TL</w:t>
            </w:r>
          </w:p>
          <w:p w:rsidR="00730D07" w:rsidRPr="00730D07" w:rsidRDefault="00730D07" w:rsidP="00D92BD7">
            <w:pPr>
              <w:spacing w:after="0" w:line="240" w:lineRule="auto"/>
              <w:rPr>
                <w:rFonts w:ascii="Times New Roman" w:hAnsi="Times New Roman"/>
                <w:sz w:val="20"/>
                <w:szCs w:val="18"/>
                <w:lang w:val="tr-TR"/>
              </w:rPr>
            </w:pPr>
            <w:r w:rsidRPr="00730D07">
              <w:rPr>
                <w:rFonts w:ascii="Times New Roman" w:hAnsi="Times New Roman"/>
                <w:sz w:val="20"/>
                <w:szCs w:val="18"/>
                <w:lang w:val="tr-TR"/>
              </w:rPr>
              <w:t xml:space="preserve">Diğer Aboneler: 80 </w:t>
            </w:r>
            <w:r w:rsidRPr="00730D07">
              <w:rPr>
                <w:rFonts w:ascii="Times New Roman" w:eastAsia="Calibri" w:hAnsi="Times New Roman"/>
                <w:sz w:val="20"/>
                <w:szCs w:val="18"/>
                <w:lang w:val="tr-TR"/>
              </w:rPr>
              <w:t>TL</w:t>
            </w:r>
          </w:p>
        </w:tc>
      </w:tr>
      <w:tr w:rsidR="00730D07" w:rsidRPr="00730D07" w:rsidTr="00D92BD7">
        <w:trPr>
          <w:trHeight w:val="641"/>
        </w:trPr>
        <w:tc>
          <w:tcPr>
            <w:tcW w:w="635" w:type="pct"/>
            <w:vAlign w:val="center"/>
          </w:tcPr>
          <w:p w:rsidR="00730D07" w:rsidRPr="00730D07" w:rsidRDefault="00730D07" w:rsidP="00D92BD7">
            <w:pPr>
              <w:spacing w:after="0" w:line="240" w:lineRule="auto"/>
              <w:jc w:val="center"/>
              <w:rPr>
                <w:rFonts w:ascii="Times New Roman" w:eastAsia="Calibri" w:hAnsi="Times New Roman"/>
                <w:b/>
                <w:sz w:val="20"/>
                <w:szCs w:val="18"/>
                <w:lang w:val="tr-TR"/>
              </w:rPr>
            </w:pPr>
            <w:r w:rsidRPr="00730D07">
              <w:rPr>
                <w:rFonts w:ascii="Times New Roman" w:eastAsia="Calibri" w:hAnsi="Times New Roman"/>
                <w:b/>
                <w:sz w:val="20"/>
                <w:szCs w:val="18"/>
                <w:lang w:val="tr-TR"/>
              </w:rPr>
              <w:t>10.1</w:t>
            </w:r>
          </w:p>
        </w:tc>
        <w:tc>
          <w:tcPr>
            <w:tcW w:w="1183" w:type="pct"/>
            <w:vAlign w:val="center"/>
          </w:tcPr>
          <w:p w:rsidR="00730D07" w:rsidRPr="00730D07" w:rsidRDefault="00730D07" w:rsidP="00D92BD7">
            <w:pPr>
              <w:spacing w:after="0" w:line="240" w:lineRule="auto"/>
              <w:rPr>
                <w:rFonts w:ascii="Times New Roman" w:eastAsia="ヒラギノ明朝 Pro W3" w:hAnsi="Times New Roman"/>
                <w:sz w:val="20"/>
                <w:szCs w:val="18"/>
                <w:lang w:val="tr-TR"/>
              </w:rPr>
            </w:pPr>
            <w:r w:rsidRPr="00730D07">
              <w:rPr>
                <w:rFonts w:ascii="Times New Roman" w:eastAsia="ヒラギノ明朝 Pro W3" w:hAnsi="Times New Roman"/>
                <w:sz w:val="20"/>
                <w:szCs w:val="18"/>
                <w:lang w:val="tr-TR"/>
              </w:rPr>
              <w:t>Kullanıcı tarafından talep edilen ve teknik kalite ölçüm cihazının kullanıcı tarafından sağlandığı ölçümlerin yapılması</w:t>
            </w:r>
          </w:p>
        </w:tc>
        <w:tc>
          <w:tcPr>
            <w:tcW w:w="2231" w:type="pct"/>
            <w:vAlign w:val="center"/>
          </w:tcPr>
          <w:p w:rsidR="00730D07" w:rsidRPr="00730D07" w:rsidRDefault="00730D07" w:rsidP="00D92BD7">
            <w:pPr>
              <w:spacing w:after="0" w:line="240" w:lineRule="auto"/>
              <w:rPr>
                <w:rFonts w:ascii="Times New Roman" w:eastAsia="Calibri" w:hAnsi="Times New Roman"/>
                <w:sz w:val="20"/>
                <w:szCs w:val="18"/>
                <w:lang w:val="tr-TR"/>
              </w:rPr>
            </w:pPr>
            <w:r w:rsidRPr="00730D07">
              <w:rPr>
                <w:rFonts w:ascii="Times New Roman" w:eastAsia="Calibri" w:hAnsi="Times New Roman"/>
                <w:sz w:val="20"/>
                <w:szCs w:val="18"/>
                <w:lang w:val="tr-TR"/>
              </w:rPr>
              <w:t>Beş iş günü içerisinde</w:t>
            </w:r>
          </w:p>
        </w:tc>
        <w:tc>
          <w:tcPr>
            <w:tcW w:w="951" w:type="pct"/>
            <w:vAlign w:val="center"/>
          </w:tcPr>
          <w:p w:rsidR="00730D07" w:rsidRPr="00730D07" w:rsidRDefault="00730D07" w:rsidP="00D92BD7">
            <w:pPr>
              <w:spacing w:after="0" w:line="240" w:lineRule="auto"/>
              <w:jc w:val="both"/>
              <w:rPr>
                <w:rFonts w:ascii="Times New Roman" w:eastAsia="Calibri" w:hAnsi="Times New Roman"/>
                <w:sz w:val="20"/>
                <w:szCs w:val="18"/>
                <w:lang w:val="tr-TR"/>
              </w:rPr>
            </w:pPr>
            <w:r w:rsidRPr="00730D07">
              <w:rPr>
                <w:rFonts w:ascii="Times New Roman" w:hAnsi="Times New Roman"/>
                <w:sz w:val="20"/>
                <w:szCs w:val="18"/>
                <w:lang w:val="tr-TR"/>
              </w:rPr>
              <w:t xml:space="preserve">Mesken Abonesi: 40 </w:t>
            </w:r>
            <w:r w:rsidRPr="00730D07">
              <w:rPr>
                <w:rFonts w:ascii="Times New Roman" w:eastAsia="Calibri" w:hAnsi="Times New Roman"/>
                <w:sz w:val="20"/>
                <w:szCs w:val="18"/>
                <w:lang w:val="tr-TR"/>
              </w:rPr>
              <w:t>TL</w:t>
            </w:r>
          </w:p>
          <w:p w:rsidR="00730D07" w:rsidRPr="00730D07" w:rsidRDefault="00730D07" w:rsidP="00D92BD7">
            <w:pPr>
              <w:jc w:val="both"/>
              <w:rPr>
                <w:rFonts w:ascii="Times New Roman" w:hAnsi="Times New Roman"/>
                <w:sz w:val="20"/>
                <w:szCs w:val="18"/>
                <w:lang w:val="tr-TR"/>
              </w:rPr>
            </w:pPr>
            <w:r w:rsidRPr="00730D07">
              <w:rPr>
                <w:rFonts w:ascii="Times New Roman" w:hAnsi="Times New Roman"/>
                <w:sz w:val="20"/>
                <w:szCs w:val="18"/>
                <w:lang w:val="tr-TR"/>
              </w:rPr>
              <w:t xml:space="preserve">Diğer Aboneler: 80 </w:t>
            </w:r>
            <w:r w:rsidRPr="00730D07">
              <w:rPr>
                <w:rFonts w:ascii="Times New Roman" w:eastAsia="Calibri" w:hAnsi="Times New Roman"/>
                <w:sz w:val="20"/>
                <w:szCs w:val="18"/>
                <w:lang w:val="tr-TR"/>
              </w:rPr>
              <w:t>TL</w:t>
            </w:r>
          </w:p>
        </w:tc>
      </w:tr>
      <w:tr w:rsidR="00730D07" w:rsidRPr="00730D07" w:rsidTr="00D92BD7">
        <w:trPr>
          <w:trHeight w:val="641"/>
        </w:trPr>
        <w:tc>
          <w:tcPr>
            <w:tcW w:w="635" w:type="pct"/>
            <w:vAlign w:val="center"/>
          </w:tcPr>
          <w:p w:rsidR="00730D07" w:rsidRPr="00730D07" w:rsidRDefault="00730D07" w:rsidP="00D92BD7">
            <w:pPr>
              <w:spacing w:after="0" w:line="240" w:lineRule="auto"/>
              <w:jc w:val="center"/>
              <w:rPr>
                <w:rFonts w:ascii="Times New Roman" w:eastAsia="Calibri" w:hAnsi="Times New Roman"/>
                <w:b/>
                <w:sz w:val="20"/>
                <w:szCs w:val="18"/>
                <w:lang w:val="tr-TR"/>
              </w:rPr>
            </w:pPr>
            <w:r w:rsidRPr="00730D07">
              <w:rPr>
                <w:rFonts w:ascii="Times New Roman" w:eastAsia="Calibri" w:hAnsi="Times New Roman"/>
                <w:b/>
                <w:sz w:val="20"/>
                <w:szCs w:val="18"/>
                <w:lang w:val="tr-TR"/>
              </w:rPr>
              <w:t>10.2</w:t>
            </w:r>
          </w:p>
        </w:tc>
        <w:tc>
          <w:tcPr>
            <w:tcW w:w="1183" w:type="pct"/>
            <w:vAlign w:val="center"/>
          </w:tcPr>
          <w:p w:rsidR="00730D07" w:rsidRPr="00730D07" w:rsidRDefault="00730D07" w:rsidP="00D92BD7">
            <w:pPr>
              <w:spacing w:after="0" w:line="240" w:lineRule="auto"/>
              <w:rPr>
                <w:rFonts w:ascii="Times New Roman" w:eastAsia="ヒラギノ明朝 Pro W3" w:hAnsi="Times New Roman"/>
                <w:sz w:val="20"/>
                <w:szCs w:val="18"/>
                <w:lang w:val="tr-TR"/>
              </w:rPr>
            </w:pPr>
            <w:r w:rsidRPr="00730D07">
              <w:rPr>
                <w:rFonts w:ascii="Times New Roman" w:eastAsia="ヒラギノ明朝 Pro W3" w:hAnsi="Times New Roman"/>
                <w:sz w:val="20"/>
                <w:szCs w:val="18"/>
                <w:lang w:val="tr-TR"/>
              </w:rPr>
              <w:t>Kullanıcı tarafından talep edilen teknik kalite ölçümünün yapılması</w:t>
            </w:r>
          </w:p>
        </w:tc>
        <w:tc>
          <w:tcPr>
            <w:tcW w:w="2231" w:type="pct"/>
            <w:vAlign w:val="center"/>
          </w:tcPr>
          <w:p w:rsidR="00730D07" w:rsidRPr="00730D07" w:rsidRDefault="00730D07" w:rsidP="00D92BD7">
            <w:pPr>
              <w:spacing w:after="0" w:line="240" w:lineRule="auto"/>
              <w:rPr>
                <w:rFonts w:ascii="Times New Roman" w:eastAsia="Calibri" w:hAnsi="Times New Roman"/>
                <w:sz w:val="20"/>
                <w:szCs w:val="18"/>
                <w:lang w:val="tr-TR"/>
              </w:rPr>
            </w:pPr>
            <w:r w:rsidRPr="00730D07">
              <w:rPr>
                <w:rFonts w:ascii="Times New Roman" w:eastAsia="Calibri" w:hAnsi="Times New Roman"/>
                <w:sz w:val="20"/>
                <w:szCs w:val="18"/>
                <w:lang w:val="tr-TR"/>
              </w:rPr>
              <w:t>On iş günü içerisinde</w:t>
            </w:r>
          </w:p>
        </w:tc>
        <w:tc>
          <w:tcPr>
            <w:tcW w:w="951" w:type="pct"/>
            <w:vAlign w:val="center"/>
          </w:tcPr>
          <w:p w:rsidR="00730D07" w:rsidRPr="00730D07" w:rsidRDefault="00730D07" w:rsidP="00D92BD7">
            <w:pPr>
              <w:spacing w:after="0" w:line="240" w:lineRule="auto"/>
              <w:jc w:val="both"/>
              <w:rPr>
                <w:rFonts w:ascii="Times New Roman" w:eastAsia="Calibri" w:hAnsi="Times New Roman"/>
                <w:sz w:val="20"/>
                <w:szCs w:val="18"/>
                <w:lang w:val="tr-TR"/>
              </w:rPr>
            </w:pPr>
            <w:r w:rsidRPr="00730D07">
              <w:rPr>
                <w:rFonts w:ascii="Times New Roman" w:hAnsi="Times New Roman"/>
                <w:sz w:val="20"/>
                <w:szCs w:val="18"/>
                <w:lang w:val="tr-TR"/>
              </w:rPr>
              <w:t xml:space="preserve">Mesken Abonesi: 40 </w:t>
            </w:r>
            <w:r w:rsidRPr="00730D07">
              <w:rPr>
                <w:rFonts w:ascii="Times New Roman" w:eastAsia="Calibri" w:hAnsi="Times New Roman"/>
                <w:sz w:val="20"/>
                <w:szCs w:val="18"/>
                <w:lang w:val="tr-TR"/>
              </w:rPr>
              <w:t>TL</w:t>
            </w:r>
          </w:p>
          <w:p w:rsidR="00730D07" w:rsidRPr="00730D07" w:rsidRDefault="00730D07" w:rsidP="00D92BD7">
            <w:pPr>
              <w:spacing w:after="0" w:line="240" w:lineRule="auto"/>
              <w:jc w:val="both"/>
              <w:rPr>
                <w:rFonts w:ascii="Times New Roman" w:hAnsi="Times New Roman"/>
                <w:sz w:val="20"/>
                <w:szCs w:val="18"/>
                <w:lang w:val="tr-TR"/>
              </w:rPr>
            </w:pPr>
            <w:r w:rsidRPr="00730D07">
              <w:rPr>
                <w:rFonts w:ascii="Times New Roman" w:hAnsi="Times New Roman"/>
                <w:sz w:val="20"/>
                <w:szCs w:val="18"/>
                <w:lang w:val="tr-TR"/>
              </w:rPr>
              <w:t xml:space="preserve">Diğer Aboneler: 80 </w:t>
            </w:r>
            <w:r w:rsidRPr="00730D07">
              <w:rPr>
                <w:rFonts w:ascii="Times New Roman" w:eastAsia="Calibri" w:hAnsi="Times New Roman"/>
                <w:sz w:val="20"/>
                <w:szCs w:val="18"/>
                <w:lang w:val="tr-TR"/>
              </w:rPr>
              <w:t>TL</w:t>
            </w:r>
          </w:p>
        </w:tc>
      </w:tr>
      <w:tr w:rsidR="00730D07" w:rsidRPr="00730D07" w:rsidTr="00D92BD7">
        <w:trPr>
          <w:trHeight w:val="1132"/>
        </w:trPr>
        <w:tc>
          <w:tcPr>
            <w:tcW w:w="635" w:type="pct"/>
            <w:vAlign w:val="center"/>
          </w:tcPr>
          <w:p w:rsidR="00730D07" w:rsidRPr="00730D07" w:rsidRDefault="00730D07" w:rsidP="00D92BD7">
            <w:pPr>
              <w:spacing w:after="0" w:line="240" w:lineRule="auto"/>
              <w:jc w:val="center"/>
              <w:rPr>
                <w:rFonts w:ascii="Times New Roman" w:eastAsia="Calibri" w:hAnsi="Times New Roman"/>
                <w:b/>
                <w:sz w:val="20"/>
                <w:szCs w:val="18"/>
                <w:lang w:val="tr-TR"/>
              </w:rPr>
            </w:pPr>
            <w:r w:rsidRPr="00730D07">
              <w:rPr>
                <w:rFonts w:ascii="Times New Roman" w:eastAsia="Calibri" w:hAnsi="Times New Roman"/>
                <w:b/>
                <w:sz w:val="20"/>
                <w:szCs w:val="18"/>
                <w:lang w:val="tr-TR"/>
              </w:rPr>
              <w:t>11.1</w:t>
            </w:r>
          </w:p>
        </w:tc>
        <w:tc>
          <w:tcPr>
            <w:tcW w:w="1183" w:type="pct"/>
            <w:vAlign w:val="center"/>
          </w:tcPr>
          <w:p w:rsidR="00730D07" w:rsidRPr="00730D07" w:rsidRDefault="00730D07" w:rsidP="00D92BD7">
            <w:pPr>
              <w:spacing w:after="0" w:line="240" w:lineRule="auto"/>
              <w:rPr>
                <w:rFonts w:ascii="Times New Roman" w:eastAsia="Calibri" w:hAnsi="Times New Roman"/>
                <w:sz w:val="20"/>
                <w:szCs w:val="18"/>
                <w:lang w:val="tr-TR"/>
              </w:rPr>
            </w:pPr>
            <w:r w:rsidRPr="00730D07">
              <w:rPr>
                <w:rFonts w:ascii="Times New Roman" w:eastAsia="Calibri" w:hAnsi="Times New Roman"/>
                <w:sz w:val="20"/>
                <w:szCs w:val="18"/>
                <w:lang w:val="tr-TR"/>
              </w:rPr>
              <w:t xml:space="preserve">AG tesis seviyesinde yapılacak düzeltici işlemler ile </w:t>
            </w:r>
            <w:r w:rsidRPr="00730D07">
              <w:rPr>
                <w:rFonts w:ascii="Times New Roman" w:hAnsi="Times New Roman"/>
                <w:sz w:val="20"/>
                <w:szCs w:val="18"/>
                <w:lang w:val="tr-TR"/>
              </w:rPr>
              <w:t>teknik kalite parametrelerine uygunluğun sağlanması</w:t>
            </w:r>
          </w:p>
        </w:tc>
        <w:tc>
          <w:tcPr>
            <w:tcW w:w="2231" w:type="pct"/>
            <w:vAlign w:val="center"/>
          </w:tcPr>
          <w:p w:rsidR="00730D07" w:rsidRPr="00730D07" w:rsidRDefault="00730D07" w:rsidP="00D92BD7">
            <w:pPr>
              <w:spacing w:after="0" w:line="240" w:lineRule="auto"/>
              <w:rPr>
                <w:rFonts w:ascii="Times New Roman" w:hAnsi="Times New Roman"/>
                <w:sz w:val="20"/>
                <w:szCs w:val="18"/>
                <w:lang w:val="tr-TR"/>
              </w:rPr>
            </w:pPr>
            <w:r w:rsidRPr="00730D07">
              <w:rPr>
                <w:rFonts w:ascii="Times New Roman" w:eastAsia="Calibri" w:hAnsi="Times New Roman"/>
                <w:sz w:val="20"/>
                <w:szCs w:val="18"/>
                <w:lang w:val="tr-TR"/>
              </w:rPr>
              <w:t>Üç ay içerisinde, düzeltici işlem tesis edilene kadar her üç ayda bir</w:t>
            </w:r>
          </w:p>
        </w:tc>
        <w:tc>
          <w:tcPr>
            <w:tcW w:w="951" w:type="pct"/>
            <w:vMerge w:val="restart"/>
            <w:vAlign w:val="center"/>
          </w:tcPr>
          <w:p w:rsidR="00730D07" w:rsidRPr="00730D07" w:rsidRDefault="00730D07" w:rsidP="00D92BD7">
            <w:pPr>
              <w:spacing w:after="0" w:line="240" w:lineRule="auto"/>
              <w:jc w:val="both"/>
              <w:rPr>
                <w:rFonts w:ascii="Times New Roman" w:hAnsi="Times New Roman"/>
                <w:sz w:val="20"/>
                <w:szCs w:val="18"/>
                <w:lang w:val="tr-TR"/>
              </w:rPr>
            </w:pPr>
            <w:r w:rsidRPr="00730D07">
              <w:rPr>
                <w:rFonts w:ascii="Times New Roman" w:hAnsi="Times New Roman"/>
                <w:sz w:val="20"/>
                <w:szCs w:val="18"/>
                <w:lang w:val="tr-TR"/>
              </w:rPr>
              <w:t xml:space="preserve">Abonenin anlaşma gücü; </w:t>
            </w:r>
          </w:p>
          <w:p w:rsidR="00730D07" w:rsidRPr="00730D07" w:rsidRDefault="00730D07" w:rsidP="00D92BD7">
            <w:pPr>
              <w:spacing w:after="0" w:line="240" w:lineRule="auto"/>
              <w:jc w:val="both"/>
              <w:rPr>
                <w:rFonts w:ascii="Times New Roman" w:hAnsi="Times New Roman"/>
                <w:sz w:val="20"/>
                <w:szCs w:val="18"/>
                <w:lang w:val="tr-TR"/>
              </w:rPr>
            </w:pPr>
          </w:p>
          <w:p w:rsidR="00730D07" w:rsidRPr="00730D07" w:rsidRDefault="00730D07" w:rsidP="00D92BD7">
            <w:pPr>
              <w:spacing w:after="0" w:line="240" w:lineRule="auto"/>
              <w:jc w:val="both"/>
              <w:rPr>
                <w:rFonts w:ascii="Times New Roman" w:eastAsia="Calibri" w:hAnsi="Times New Roman"/>
                <w:sz w:val="20"/>
                <w:szCs w:val="18"/>
                <w:lang w:val="tr-TR"/>
              </w:rPr>
            </w:pPr>
            <w:r w:rsidRPr="00730D07">
              <w:rPr>
                <w:rFonts w:ascii="Times New Roman" w:hAnsi="Times New Roman"/>
                <w:sz w:val="20"/>
                <w:szCs w:val="18"/>
                <w:lang w:val="tr-TR"/>
              </w:rPr>
              <w:t xml:space="preserve">50 </w:t>
            </w:r>
            <w:proofErr w:type="spellStart"/>
            <w:r w:rsidRPr="00730D07">
              <w:rPr>
                <w:rFonts w:ascii="Times New Roman" w:hAnsi="Times New Roman"/>
                <w:sz w:val="20"/>
                <w:szCs w:val="18"/>
                <w:lang w:val="tr-TR"/>
              </w:rPr>
              <w:t>kVA’dan</w:t>
            </w:r>
            <w:proofErr w:type="spellEnd"/>
            <w:r w:rsidRPr="00730D07">
              <w:rPr>
                <w:rFonts w:ascii="Times New Roman" w:hAnsi="Times New Roman"/>
                <w:sz w:val="20"/>
                <w:szCs w:val="18"/>
                <w:lang w:val="tr-TR"/>
              </w:rPr>
              <w:t xml:space="preserve"> düşük ise 80 </w:t>
            </w:r>
            <w:r w:rsidRPr="00730D07">
              <w:rPr>
                <w:rFonts w:ascii="Times New Roman" w:eastAsia="Calibri" w:hAnsi="Times New Roman"/>
                <w:sz w:val="20"/>
                <w:szCs w:val="18"/>
                <w:lang w:val="tr-TR"/>
              </w:rPr>
              <w:t>TL</w:t>
            </w:r>
          </w:p>
          <w:p w:rsidR="00730D07" w:rsidRPr="00730D07" w:rsidRDefault="00730D07" w:rsidP="00D92BD7">
            <w:pPr>
              <w:spacing w:after="0" w:line="240" w:lineRule="auto"/>
              <w:jc w:val="both"/>
              <w:rPr>
                <w:rFonts w:ascii="Times New Roman" w:eastAsia="Calibri" w:hAnsi="Times New Roman"/>
                <w:sz w:val="20"/>
                <w:szCs w:val="18"/>
                <w:lang w:val="tr-TR"/>
              </w:rPr>
            </w:pPr>
          </w:p>
          <w:p w:rsidR="00730D07" w:rsidRPr="00730D07" w:rsidRDefault="00730D07" w:rsidP="00D92BD7">
            <w:pPr>
              <w:spacing w:after="0" w:line="240" w:lineRule="auto"/>
              <w:jc w:val="both"/>
              <w:rPr>
                <w:rFonts w:ascii="Times New Roman" w:eastAsia="Calibri" w:hAnsi="Times New Roman"/>
                <w:sz w:val="20"/>
                <w:szCs w:val="18"/>
                <w:lang w:val="tr-TR"/>
              </w:rPr>
            </w:pPr>
            <w:r w:rsidRPr="00730D07">
              <w:rPr>
                <w:rFonts w:ascii="Times New Roman" w:hAnsi="Times New Roman"/>
                <w:sz w:val="20"/>
                <w:szCs w:val="18"/>
                <w:lang w:val="tr-TR"/>
              </w:rPr>
              <w:t xml:space="preserve">50 </w:t>
            </w:r>
            <w:proofErr w:type="spellStart"/>
            <w:r w:rsidRPr="00730D07">
              <w:rPr>
                <w:rFonts w:ascii="Times New Roman" w:hAnsi="Times New Roman"/>
                <w:sz w:val="20"/>
                <w:szCs w:val="18"/>
                <w:lang w:val="tr-TR"/>
              </w:rPr>
              <w:t>kVA</w:t>
            </w:r>
            <w:proofErr w:type="spellEnd"/>
            <w:r w:rsidRPr="00730D07">
              <w:rPr>
                <w:rFonts w:ascii="Times New Roman" w:hAnsi="Times New Roman"/>
                <w:sz w:val="20"/>
                <w:szCs w:val="18"/>
                <w:lang w:val="tr-TR"/>
              </w:rPr>
              <w:t xml:space="preserve"> (</w:t>
            </w:r>
            <w:proofErr w:type="gramStart"/>
            <w:r w:rsidRPr="00730D07">
              <w:rPr>
                <w:rFonts w:ascii="Times New Roman" w:hAnsi="Times New Roman"/>
                <w:sz w:val="20"/>
                <w:szCs w:val="18"/>
                <w:lang w:val="tr-TR"/>
              </w:rPr>
              <w:t>dahil</w:t>
            </w:r>
            <w:proofErr w:type="gramEnd"/>
            <w:r w:rsidRPr="00730D07">
              <w:rPr>
                <w:rFonts w:ascii="Times New Roman" w:hAnsi="Times New Roman"/>
                <w:sz w:val="20"/>
                <w:szCs w:val="18"/>
                <w:lang w:val="tr-TR"/>
              </w:rPr>
              <w:t xml:space="preserve">) ile 630 </w:t>
            </w:r>
            <w:proofErr w:type="spellStart"/>
            <w:r w:rsidRPr="00730D07">
              <w:rPr>
                <w:rFonts w:ascii="Times New Roman" w:hAnsi="Times New Roman"/>
                <w:sz w:val="20"/>
                <w:szCs w:val="18"/>
                <w:lang w:val="tr-TR"/>
              </w:rPr>
              <w:t>kVA</w:t>
            </w:r>
            <w:proofErr w:type="spellEnd"/>
            <w:r w:rsidRPr="00730D07">
              <w:rPr>
                <w:rFonts w:ascii="Times New Roman" w:hAnsi="Times New Roman"/>
                <w:sz w:val="20"/>
                <w:szCs w:val="18"/>
                <w:lang w:val="tr-TR"/>
              </w:rPr>
              <w:t xml:space="preserve">: arasında ise 800 </w:t>
            </w:r>
            <w:r w:rsidRPr="00730D07">
              <w:rPr>
                <w:rFonts w:ascii="Times New Roman" w:eastAsia="Calibri" w:hAnsi="Times New Roman"/>
                <w:sz w:val="20"/>
                <w:szCs w:val="18"/>
                <w:lang w:val="tr-TR"/>
              </w:rPr>
              <w:t>TL</w:t>
            </w:r>
          </w:p>
          <w:p w:rsidR="00730D07" w:rsidRPr="00730D07" w:rsidRDefault="00730D07" w:rsidP="00D92BD7">
            <w:pPr>
              <w:spacing w:after="0" w:line="240" w:lineRule="auto"/>
              <w:jc w:val="both"/>
              <w:rPr>
                <w:rFonts w:ascii="Times New Roman" w:hAnsi="Times New Roman"/>
                <w:sz w:val="20"/>
                <w:szCs w:val="18"/>
                <w:lang w:val="tr-TR"/>
              </w:rPr>
            </w:pPr>
          </w:p>
          <w:p w:rsidR="00730D07" w:rsidRPr="00730D07" w:rsidRDefault="00730D07" w:rsidP="00D92BD7">
            <w:pPr>
              <w:spacing w:after="0" w:line="240" w:lineRule="auto"/>
              <w:jc w:val="both"/>
              <w:rPr>
                <w:rFonts w:ascii="Times New Roman" w:eastAsia="Calibri" w:hAnsi="Times New Roman"/>
                <w:sz w:val="20"/>
                <w:szCs w:val="18"/>
                <w:lang w:val="tr-TR"/>
              </w:rPr>
            </w:pPr>
            <w:r w:rsidRPr="00730D07">
              <w:rPr>
                <w:rFonts w:ascii="Times New Roman" w:hAnsi="Times New Roman"/>
                <w:sz w:val="20"/>
                <w:szCs w:val="18"/>
                <w:lang w:val="tr-TR"/>
              </w:rPr>
              <w:t xml:space="preserve">630 </w:t>
            </w:r>
            <w:proofErr w:type="spellStart"/>
            <w:r w:rsidRPr="00730D07">
              <w:rPr>
                <w:rFonts w:ascii="Times New Roman" w:hAnsi="Times New Roman"/>
                <w:sz w:val="20"/>
                <w:szCs w:val="18"/>
                <w:lang w:val="tr-TR"/>
              </w:rPr>
              <w:t>kVA</w:t>
            </w:r>
            <w:proofErr w:type="spellEnd"/>
            <w:r w:rsidRPr="00730D07">
              <w:rPr>
                <w:rFonts w:ascii="Times New Roman" w:hAnsi="Times New Roman"/>
                <w:sz w:val="20"/>
                <w:szCs w:val="18"/>
                <w:lang w:val="tr-TR"/>
              </w:rPr>
              <w:t xml:space="preserve"> ve üzerinde ise 4.000 </w:t>
            </w:r>
            <w:r w:rsidRPr="00730D07">
              <w:rPr>
                <w:rFonts w:ascii="Times New Roman" w:eastAsia="Calibri" w:hAnsi="Times New Roman"/>
                <w:sz w:val="20"/>
                <w:szCs w:val="18"/>
                <w:lang w:val="tr-TR"/>
              </w:rPr>
              <w:t>TL</w:t>
            </w:r>
          </w:p>
          <w:p w:rsidR="00730D07" w:rsidRPr="00730D07" w:rsidRDefault="00730D07" w:rsidP="00D92BD7">
            <w:pPr>
              <w:jc w:val="both"/>
              <w:rPr>
                <w:rFonts w:ascii="Times New Roman" w:eastAsia="Calibri" w:hAnsi="Times New Roman"/>
                <w:sz w:val="20"/>
                <w:szCs w:val="18"/>
                <w:lang w:val="tr-TR"/>
              </w:rPr>
            </w:pPr>
          </w:p>
          <w:p w:rsidR="00730D07" w:rsidRPr="00730D07" w:rsidRDefault="00730D07" w:rsidP="00D92BD7">
            <w:pPr>
              <w:jc w:val="both"/>
              <w:rPr>
                <w:rFonts w:ascii="Times New Roman" w:hAnsi="Times New Roman"/>
                <w:sz w:val="20"/>
                <w:szCs w:val="18"/>
                <w:lang w:val="tr-TR"/>
              </w:rPr>
            </w:pPr>
          </w:p>
        </w:tc>
      </w:tr>
      <w:tr w:rsidR="00730D07" w:rsidRPr="00730D07" w:rsidTr="00D92BD7">
        <w:trPr>
          <w:trHeight w:val="1261"/>
        </w:trPr>
        <w:tc>
          <w:tcPr>
            <w:tcW w:w="635" w:type="pct"/>
            <w:vAlign w:val="center"/>
          </w:tcPr>
          <w:p w:rsidR="00730D07" w:rsidRPr="00730D07" w:rsidRDefault="00730D07" w:rsidP="00D92BD7">
            <w:pPr>
              <w:spacing w:after="0" w:line="240" w:lineRule="auto"/>
              <w:jc w:val="center"/>
              <w:rPr>
                <w:rFonts w:ascii="Times New Roman" w:eastAsia="Calibri" w:hAnsi="Times New Roman"/>
                <w:b/>
                <w:sz w:val="20"/>
                <w:szCs w:val="18"/>
                <w:lang w:val="tr-TR"/>
              </w:rPr>
            </w:pPr>
            <w:r w:rsidRPr="00730D07">
              <w:rPr>
                <w:rFonts w:ascii="Times New Roman" w:eastAsia="Calibri" w:hAnsi="Times New Roman"/>
                <w:b/>
                <w:sz w:val="20"/>
                <w:szCs w:val="18"/>
                <w:lang w:val="tr-TR"/>
              </w:rPr>
              <w:t>11.2</w:t>
            </w:r>
          </w:p>
        </w:tc>
        <w:tc>
          <w:tcPr>
            <w:tcW w:w="1183" w:type="pct"/>
            <w:vAlign w:val="center"/>
          </w:tcPr>
          <w:p w:rsidR="00730D07" w:rsidRPr="00730D07" w:rsidRDefault="00730D07" w:rsidP="00D92BD7">
            <w:pPr>
              <w:spacing w:after="0" w:line="240" w:lineRule="auto"/>
              <w:rPr>
                <w:rFonts w:ascii="Times New Roman" w:eastAsia="Calibri" w:hAnsi="Times New Roman"/>
                <w:sz w:val="20"/>
                <w:szCs w:val="18"/>
                <w:lang w:val="tr-TR"/>
              </w:rPr>
            </w:pPr>
            <w:r w:rsidRPr="00730D07">
              <w:rPr>
                <w:rFonts w:ascii="Times New Roman" w:hAnsi="Times New Roman"/>
                <w:sz w:val="20"/>
                <w:szCs w:val="18"/>
                <w:lang w:val="tr-TR"/>
              </w:rPr>
              <w:t>Dağıtım transformatörü değişikliği ile teknik kalite parametrelerine uygunluğun sağlanması</w:t>
            </w:r>
          </w:p>
        </w:tc>
        <w:tc>
          <w:tcPr>
            <w:tcW w:w="2231" w:type="pct"/>
            <w:vAlign w:val="center"/>
          </w:tcPr>
          <w:p w:rsidR="00730D07" w:rsidRPr="00730D07" w:rsidRDefault="00730D07" w:rsidP="00D92BD7">
            <w:pPr>
              <w:spacing w:after="0" w:line="240" w:lineRule="auto"/>
              <w:rPr>
                <w:rFonts w:ascii="Times New Roman" w:hAnsi="Times New Roman"/>
                <w:sz w:val="20"/>
                <w:szCs w:val="18"/>
                <w:lang w:val="tr-TR"/>
              </w:rPr>
            </w:pPr>
            <w:r w:rsidRPr="00730D07">
              <w:rPr>
                <w:rFonts w:ascii="Times New Roman" w:eastAsia="Calibri" w:hAnsi="Times New Roman"/>
                <w:sz w:val="20"/>
                <w:szCs w:val="18"/>
                <w:lang w:val="tr-TR"/>
              </w:rPr>
              <w:t>Altı ay içerisinde, düzeltici işlem tesis edilene kadar her altı ayda bir</w:t>
            </w:r>
          </w:p>
        </w:tc>
        <w:tc>
          <w:tcPr>
            <w:tcW w:w="951" w:type="pct"/>
            <w:vMerge/>
            <w:vAlign w:val="center"/>
          </w:tcPr>
          <w:p w:rsidR="00730D07" w:rsidRPr="00730D07" w:rsidRDefault="00730D07" w:rsidP="00D92BD7">
            <w:pPr>
              <w:jc w:val="both"/>
              <w:rPr>
                <w:rFonts w:ascii="Times New Roman" w:hAnsi="Times New Roman"/>
                <w:sz w:val="20"/>
                <w:szCs w:val="18"/>
                <w:lang w:val="tr-TR"/>
              </w:rPr>
            </w:pPr>
          </w:p>
        </w:tc>
      </w:tr>
      <w:tr w:rsidR="00730D07" w:rsidRPr="00730D07" w:rsidTr="00D92BD7">
        <w:trPr>
          <w:trHeight w:val="1691"/>
        </w:trPr>
        <w:tc>
          <w:tcPr>
            <w:tcW w:w="635" w:type="pct"/>
            <w:vAlign w:val="center"/>
          </w:tcPr>
          <w:p w:rsidR="00730D07" w:rsidRPr="00730D07" w:rsidRDefault="00730D07" w:rsidP="00D92BD7">
            <w:pPr>
              <w:spacing w:after="0" w:line="240" w:lineRule="auto"/>
              <w:jc w:val="center"/>
              <w:rPr>
                <w:rFonts w:ascii="Times New Roman" w:eastAsia="Calibri" w:hAnsi="Times New Roman"/>
                <w:b/>
                <w:sz w:val="20"/>
                <w:szCs w:val="18"/>
                <w:lang w:val="tr-TR"/>
              </w:rPr>
            </w:pPr>
            <w:r w:rsidRPr="00730D07">
              <w:rPr>
                <w:rFonts w:ascii="Times New Roman" w:eastAsia="Calibri" w:hAnsi="Times New Roman"/>
                <w:b/>
                <w:sz w:val="20"/>
                <w:szCs w:val="18"/>
                <w:lang w:val="tr-TR"/>
              </w:rPr>
              <w:t>11.3</w:t>
            </w:r>
          </w:p>
        </w:tc>
        <w:tc>
          <w:tcPr>
            <w:tcW w:w="1183" w:type="pct"/>
            <w:vAlign w:val="center"/>
          </w:tcPr>
          <w:p w:rsidR="00730D07" w:rsidRPr="00730D07" w:rsidRDefault="00730D07" w:rsidP="00D92BD7">
            <w:pPr>
              <w:spacing w:after="0" w:line="240" w:lineRule="auto"/>
              <w:rPr>
                <w:rFonts w:ascii="Times New Roman" w:eastAsia="Calibri" w:hAnsi="Times New Roman"/>
                <w:sz w:val="20"/>
                <w:szCs w:val="18"/>
                <w:lang w:val="tr-TR"/>
              </w:rPr>
            </w:pPr>
            <w:r w:rsidRPr="00730D07">
              <w:rPr>
                <w:rFonts w:ascii="Times New Roman" w:hAnsi="Times New Roman"/>
                <w:sz w:val="20"/>
                <w:szCs w:val="18"/>
                <w:lang w:val="tr-TR"/>
              </w:rPr>
              <w:t xml:space="preserve">Yeni dağıtım transformatörü tesisi ve/veya OG seviyede düzeltici işlemler teknik kalite parametrelerine uygunluğun sağlanması </w:t>
            </w:r>
          </w:p>
        </w:tc>
        <w:tc>
          <w:tcPr>
            <w:tcW w:w="2231" w:type="pct"/>
            <w:vAlign w:val="center"/>
          </w:tcPr>
          <w:p w:rsidR="00730D07" w:rsidRPr="00730D07" w:rsidRDefault="00730D07" w:rsidP="00D92BD7">
            <w:pPr>
              <w:spacing w:after="0" w:line="240" w:lineRule="auto"/>
              <w:rPr>
                <w:rFonts w:ascii="Times New Roman" w:hAnsi="Times New Roman"/>
                <w:sz w:val="20"/>
                <w:szCs w:val="18"/>
                <w:lang w:val="tr-TR"/>
              </w:rPr>
            </w:pPr>
            <w:r w:rsidRPr="00730D07">
              <w:rPr>
                <w:rFonts w:ascii="Times New Roman" w:eastAsia="Calibri" w:hAnsi="Times New Roman"/>
                <w:sz w:val="20"/>
                <w:szCs w:val="18"/>
                <w:lang w:val="tr-TR"/>
              </w:rPr>
              <w:t>On iki ay içerisinde, düzeltici işlem tesis edilene kadar her on iki ayda bir</w:t>
            </w:r>
          </w:p>
        </w:tc>
        <w:tc>
          <w:tcPr>
            <w:tcW w:w="951" w:type="pct"/>
            <w:vMerge/>
            <w:vAlign w:val="center"/>
          </w:tcPr>
          <w:p w:rsidR="00730D07" w:rsidRPr="00730D07" w:rsidRDefault="00730D07" w:rsidP="00D92BD7">
            <w:pPr>
              <w:jc w:val="both"/>
              <w:rPr>
                <w:rFonts w:ascii="Times New Roman" w:hAnsi="Times New Roman"/>
                <w:sz w:val="20"/>
                <w:szCs w:val="18"/>
                <w:lang w:val="tr-TR"/>
              </w:rPr>
            </w:pPr>
          </w:p>
        </w:tc>
      </w:tr>
      <w:tr w:rsidR="00730D07" w:rsidRPr="00730D07" w:rsidTr="00D92BD7">
        <w:trPr>
          <w:trHeight w:val="1691"/>
        </w:trPr>
        <w:tc>
          <w:tcPr>
            <w:tcW w:w="635" w:type="pct"/>
            <w:vAlign w:val="center"/>
          </w:tcPr>
          <w:p w:rsidR="00730D07" w:rsidRPr="00730D07" w:rsidRDefault="00730D07" w:rsidP="00D92BD7">
            <w:pPr>
              <w:spacing w:after="0" w:line="240" w:lineRule="auto"/>
              <w:jc w:val="center"/>
              <w:rPr>
                <w:rFonts w:ascii="Times New Roman" w:eastAsia="Calibri" w:hAnsi="Times New Roman"/>
                <w:b/>
                <w:sz w:val="20"/>
                <w:szCs w:val="18"/>
                <w:lang w:val="tr-TR"/>
              </w:rPr>
            </w:pPr>
            <w:r w:rsidRPr="00730D07">
              <w:rPr>
                <w:rFonts w:ascii="Times New Roman" w:eastAsia="Calibri" w:hAnsi="Times New Roman"/>
                <w:b/>
                <w:sz w:val="20"/>
                <w:szCs w:val="18"/>
                <w:lang w:val="tr-TR"/>
              </w:rPr>
              <w:lastRenderedPageBreak/>
              <w:t>12</w:t>
            </w:r>
          </w:p>
        </w:tc>
        <w:tc>
          <w:tcPr>
            <w:tcW w:w="1183" w:type="pct"/>
            <w:vAlign w:val="center"/>
          </w:tcPr>
          <w:p w:rsidR="00730D07" w:rsidRPr="00730D07" w:rsidRDefault="00730D07" w:rsidP="00D92BD7">
            <w:pPr>
              <w:spacing w:after="0" w:line="240" w:lineRule="auto"/>
              <w:rPr>
                <w:rFonts w:ascii="Times New Roman" w:hAnsi="Times New Roman"/>
                <w:sz w:val="20"/>
                <w:szCs w:val="18"/>
                <w:lang w:val="tr-TR"/>
              </w:rPr>
            </w:pPr>
            <w:r w:rsidRPr="00730D07">
              <w:rPr>
                <w:rFonts w:ascii="Times New Roman" w:hAnsi="Times New Roman"/>
                <w:sz w:val="20"/>
                <w:szCs w:val="18"/>
                <w:lang w:val="tr-TR"/>
              </w:rPr>
              <w:t>Dengeleme birimi olmayan tüketim tesislerinde OSOS kapsamındaki sayaçlardan endeks verisinin OSOS veya saha okuması vasıtasıyla alınarak piyasa işletmecisi ile paylaşılması</w:t>
            </w:r>
          </w:p>
        </w:tc>
        <w:tc>
          <w:tcPr>
            <w:tcW w:w="2231" w:type="pct"/>
            <w:vAlign w:val="center"/>
          </w:tcPr>
          <w:p w:rsidR="00730D07" w:rsidRPr="00730D07" w:rsidRDefault="00730D07" w:rsidP="00D92BD7">
            <w:pPr>
              <w:spacing w:after="0" w:line="240" w:lineRule="auto"/>
              <w:rPr>
                <w:rFonts w:ascii="Times New Roman" w:eastAsia="Calibri" w:hAnsi="Times New Roman"/>
                <w:sz w:val="20"/>
                <w:szCs w:val="18"/>
                <w:lang w:val="tr-TR"/>
              </w:rPr>
            </w:pPr>
            <w:r w:rsidRPr="00730D07">
              <w:rPr>
                <w:rFonts w:ascii="Times New Roman" w:eastAsia="Calibri" w:hAnsi="Times New Roman"/>
                <w:sz w:val="20"/>
                <w:szCs w:val="18"/>
                <w:lang w:val="tr-TR"/>
              </w:rPr>
              <w:t>İlgili ayın uzlaştırma takviminde tanımlanan son güne kadar</w:t>
            </w:r>
          </w:p>
        </w:tc>
        <w:tc>
          <w:tcPr>
            <w:tcW w:w="951" w:type="pct"/>
            <w:vAlign w:val="center"/>
          </w:tcPr>
          <w:p w:rsidR="00730D07" w:rsidRPr="00730D07" w:rsidRDefault="00730D07" w:rsidP="00D92BD7">
            <w:pPr>
              <w:jc w:val="both"/>
              <w:rPr>
                <w:rFonts w:ascii="Times New Roman" w:hAnsi="Times New Roman"/>
                <w:sz w:val="20"/>
                <w:szCs w:val="18"/>
                <w:lang w:val="tr-TR"/>
              </w:rPr>
            </w:pPr>
            <w:r w:rsidRPr="00730D07">
              <w:rPr>
                <w:rFonts w:ascii="Times New Roman" w:hAnsi="Times New Roman"/>
                <w:sz w:val="20"/>
                <w:szCs w:val="18"/>
                <w:lang w:val="tr-TR"/>
              </w:rPr>
              <w:t>Okuma yapılmayan sayaç başına 320 TL, ilgili kullanıcıya ödenir</w:t>
            </w:r>
          </w:p>
        </w:tc>
      </w:tr>
    </w:tbl>
    <w:p w:rsidR="0084430A" w:rsidRPr="00730D07" w:rsidRDefault="0084430A">
      <w:pPr>
        <w:rPr>
          <w:rFonts w:ascii="Times New Roman" w:hAnsi="Times New Roman"/>
          <w:sz w:val="20"/>
          <w:szCs w:val="18"/>
        </w:rPr>
      </w:pPr>
    </w:p>
    <w:sectPr w:rsidR="0084430A" w:rsidRPr="00730D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UI"/>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FCB"/>
    <w:multiLevelType w:val="hybridMultilevel"/>
    <w:tmpl w:val="31C253F8"/>
    <w:lvl w:ilvl="0" w:tplc="91E6AA2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D07"/>
    <w:rsid w:val="003674E2"/>
    <w:rsid w:val="00730D07"/>
    <w:rsid w:val="008443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700C"/>
  <w15:chartTrackingRefBased/>
  <w15:docId w15:val="{2385C42C-737C-400D-8CA4-0FD110C1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D07"/>
    <w:pPr>
      <w:spacing w:after="200" w:line="276" w:lineRule="auto"/>
    </w:pPr>
    <w:rPr>
      <w:rFonts w:ascii="Calibri" w:eastAsia="Times New Roman" w:hAnsi="Calibri" w:cs="Times New Roman"/>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0D07"/>
    <w:pPr>
      <w:spacing w:after="0" w:line="240" w:lineRule="auto"/>
      <w:ind w:left="720"/>
      <w:contextualSpacing/>
    </w:pPr>
    <w:rPr>
      <w:rFonts w:ascii="Times New Roman" w:hAnsi="Times New Roman"/>
      <w:sz w:val="24"/>
      <w:szCs w:val="24"/>
      <w:lang w:eastAsia="tr-TR"/>
    </w:rPr>
  </w:style>
  <w:style w:type="paragraph" w:styleId="NormalWeb">
    <w:name w:val="Normal (Web)"/>
    <w:aliases w:val="Normal (Web) Char Char,Normal (Web) Char Char Char Char,Normal (Web) Char Char Char"/>
    <w:basedOn w:val="Normal"/>
    <w:link w:val="NormalWebChar"/>
    <w:rsid w:val="00730D07"/>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Normal (Web) Char Char Char1,Normal (Web) Char Char Char Char Char,Normal (Web) Char Char Char Char1"/>
    <w:link w:val="NormalWeb"/>
    <w:locked/>
    <w:rsid w:val="00730D07"/>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Şeyma Dönmez</dc:creator>
  <cp:keywords/>
  <dc:description/>
  <cp:lastModifiedBy>Özge Karakaya</cp:lastModifiedBy>
  <cp:revision>2</cp:revision>
  <dcterms:created xsi:type="dcterms:W3CDTF">2024-11-13T07:08:00Z</dcterms:created>
  <dcterms:modified xsi:type="dcterms:W3CDTF">2024-11-13T07:08:00Z</dcterms:modified>
</cp:coreProperties>
</file>